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350D6E17"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1F3B10">
        <w:rPr>
          <w:b/>
          <w:color w:val="000000" w:themeColor="text1"/>
          <w:sz w:val="24"/>
          <w:szCs w:val="24"/>
          <w:lang w:eastAsia="ko-KR"/>
        </w:rPr>
        <w:t>4</w:t>
      </w:r>
      <w:r w:rsidR="0060477C">
        <w:rPr>
          <w:b/>
          <w:color w:val="000000" w:themeColor="text1"/>
          <w:sz w:val="24"/>
          <w:szCs w:val="24"/>
          <w:lang w:eastAsia="ko-KR"/>
        </w:rPr>
        <w:t>bis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EF270E">
        <w:rPr>
          <w:rFonts w:asciiTheme="minorEastAsia" w:eastAsiaTheme="minorEastAsia" w:hAnsiTheme="minorEastAsia"/>
          <w:b/>
          <w:color w:val="000000" w:themeColor="text1"/>
          <w:sz w:val="24"/>
          <w:szCs w:val="24"/>
          <w:lang w:eastAsia="ko-KR"/>
        </w:rPr>
        <w:t>30</w:t>
      </w:r>
      <w:r w:rsidR="0092216C">
        <w:rPr>
          <w:rFonts w:asciiTheme="minorEastAsia" w:eastAsiaTheme="minorEastAsia" w:hAnsiTheme="minorEastAsia"/>
          <w:b/>
          <w:color w:val="000000" w:themeColor="text1"/>
          <w:sz w:val="24"/>
          <w:szCs w:val="24"/>
          <w:lang w:eastAsia="ko-KR"/>
        </w:rPr>
        <w:t>9711</w:t>
      </w:r>
      <w:bookmarkStart w:id="1" w:name="_GoBack"/>
      <w:bookmarkEnd w:id="1"/>
    </w:p>
    <w:bookmarkEnd w:id="0"/>
    <w:p w14:paraId="232823A7" w14:textId="675C05BF" w:rsidR="003909B6" w:rsidRPr="00122191" w:rsidRDefault="0060477C"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Xiamen</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China</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October 9</w:t>
      </w:r>
      <w:r w:rsidRPr="0060477C">
        <w:rPr>
          <w:rFonts w:asciiTheme="minorHAnsi" w:eastAsiaTheme="minorHAnsi" w:hAnsiTheme="minorHAnsi" w:cs="바탕"/>
          <w:b/>
          <w:bCs/>
          <w:color w:val="000000" w:themeColor="text1"/>
          <w:sz w:val="24"/>
          <w:szCs w:val="24"/>
          <w:vertAlign w:val="superscript"/>
          <w:lang w:eastAsia="ko-KR"/>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October 13</w:t>
      </w:r>
      <w:r w:rsidRPr="0060477C">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EF270E">
        <w:rPr>
          <w:rFonts w:eastAsia="SimSun" w:cs="Arial"/>
          <w:b/>
          <w:bCs/>
          <w:color w:val="000000" w:themeColor="text1"/>
          <w:sz w:val="24"/>
          <w:szCs w:val="24"/>
          <w:lang w:eastAsia="zh-CN"/>
        </w:rPr>
        <w:t>3</w:t>
      </w:r>
    </w:p>
    <w:p w14:paraId="16FE5EF7" w14:textId="0F832C1C"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60477C">
        <w:rPr>
          <w:rFonts w:ascii="Arial" w:hAnsi="Arial"/>
          <w:color w:val="000000" w:themeColor="text1"/>
          <w:sz w:val="24"/>
        </w:rPr>
        <w:t>8</w:t>
      </w:r>
      <w:r w:rsidR="008F39D9" w:rsidRPr="005D3160">
        <w:rPr>
          <w:rFonts w:ascii="Arial" w:hAnsi="Arial"/>
          <w:color w:val="000000" w:themeColor="text1"/>
          <w:sz w:val="24"/>
        </w:rPr>
        <w:t>.</w:t>
      </w:r>
      <w:r w:rsidR="00DE2397">
        <w:rPr>
          <w:rFonts w:ascii="Arial" w:hAnsi="Arial"/>
          <w:color w:val="000000" w:themeColor="text1"/>
          <w:sz w:val="24"/>
        </w:rPr>
        <w:t>1</w:t>
      </w:r>
      <w:r w:rsidR="00A2309E">
        <w:rPr>
          <w:rFonts w:ascii="Arial" w:hAnsi="Arial"/>
          <w:color w:val="000000" w:themeColor="text1"/>
          <w:sz w:val="24"/>
        </w:rPr>
        <w:t>6</w:t>
      </w:r>
      <w:r w:rsidR="008F39D9" w:rsidRPr="005D3160">
        <w:rPr>
          <w:rFonts w:ascii="Arial" w:hAnsi="Arial"/>
          <w:color w:val="000000" w:themeColor="text1"/>
          <w:sz w:val="24"/>
        </w:rPr>
        <w:t>.</w:t>
      </w:r>
      <w:r w:rsidR="0060477C">
        <w:rPr>
          <w:rFonts w:ascii="Arial" w:hAnsi="Arial"/>
          <w:color w:val="000000" w:themeColor="text1"/>
          <w:sz w:val="24"/>
        </w:rPr>
        <w:t>11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1625BF86"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3" w:name="_Hlk131603908"/>
      <w:r w:rsidR="00637E0A" w:rsidRPr="00637E0A">
        <w:rPr>
          <w:rFonts w:ascii="Arial" w:eastAsia="SimSun" w:hAnsi="Arial" w:cs="Arial"/>
          <w:color w:val="000000" w:themeColor="text1"/>
          <w:sz w:val="24"/>
          <w:lang w:eastAsia="zh-CN"/>
        </w:rPr>
        <w:t xml:space="preserve">Discussion on </w:t>
      </w:r>
      <w:r w:rsidR="00DE2397">
        <w:rPr>
          <w:rFonts w:ascii="Arial" w:eastAsia="SimSun" w:hAnsi="Arial" w:cs="Arial"/>
          <w:color w:val="000000" w:themeColor="text1"/>
          <w:sz w:val="24"/>
          <w:lang w:eastAsia="zh-CN"/>
        </w:rPr>
        <w:t>NCR features</w:t>
      </w:r>
      <w:bookmarkEnd w:id="3"/>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65849EAD" w14:textId="766A3E44" w:rsidR="00414CD5" w:rsidRDefault="00414CD5" w:rsidP="00414CD5">
      <w:pPr>
        <w:pStyle w:val="maintext"/>
        <w:ind w:firstLine="440"/>
      </w:pPr>
      <w:r>
        <w:t xml:space="preserve">This contribution presents ETRI’s views on </w:t>
      </w:r>
      <w:r w:rsidR="0076767D">
        <w:t>NCR features</w:t>
      </w:r>
      <w:r w:rsidR="0039640A">
        <w:t xml:space="preserve"> based on </w:t>
      </w:r>
      <w:r w:rsidR="0039640A">
        <w:fldChar w:fldCharType="begin"/>
      </w:r>
      <w:r w:rsidR="0039640A">
        <w:instrText xml:space="preserve"> REF _Ref134718765 \r \h </w:instrText>
      </w:r>
      <w:r w:rsidR="0039640A">
        <w:fldChar w:fldCharType="separate"/>
      </w:r>
      <w:r w:rsidR="0060477C">
        <w:t>[1]</w:t>
      </w:r>
      <w:r w:rsidR="0039640A">
        <w:fldChar w:fldCharType="end"/>
      </w:r>
      <w:r w:rsidR="0060477C">
        <w:t xml:space="preserve"> and </w:t>
      </w:r>
      <w:r w:rsidR="0060477C">
        <w:fldChar w:fldCharType="begin"/>
      </w:r>
      <w:r w:rsidR="0060477C">
        <w:instrText xml:space="preserve"> REF _Ref146096534 \r \h </w:instrText>
      </w:r>
      <w:r w:rsidR="0060477C">
        <w:fldChar w:fldCharType="separate"/>
      </w:r>
      <w:r w:rsidR="0060477C">
        <w:t>[2]</w:t>
      </w:r>
      <w:r w:rsidR="0060477C">
        <w:fldChar w:fldCharType="end"/>
      </w:r>
      <w:r w:rsidR="0076767D">
        <w:t>.</w:t>
      </w:r>
    </w:p>
    <w:p w14:paraId="3DCBCBAA" w14:textId="77777777" w:rsidR="00276C67" w:rsidRPr="00B474B6" w:rsidRDefault="00276C67"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13C4CE84" w14:textId="5238ACAE" w:rsidR="0039640A" w:rsidRDefault="00476135" w:rsidP="0039640A">
      <w:pPr>
        <w:pStyle w:val="2"/>
        <w:spacing w:after="120"/>
      </w:pPr>
      <w:r>
        <w:t xml:space="preserve">NCR-MT power control for simultaneous </w:t>
      </w:r>
      <w:r w:rsidR="00752EC9">
        <w:t xml:space="preserve">backhaul </w:t>
      </w:r>
      <w:r>
        <w:t xml:space="preserve">link and </w:t>
      </w:r>
      <w:r w:rsidR="00752EC9">
        <w:t>C-</w:t>
      </w:r>
      <w:r>
        <w:t>link</w:t>
      </w:r>
    </w:p>
    <w:p w14:paraId="4AE1C4FA" w14:textId="533ACB00" w:rsidR="0039640A" w:rsidRDefault="00F920E1" w:rsidP="0039640A">
      <w:pPr>
        <w:pStyle w:val="maintext"/>
        <w:ind w:firstLine="440"/>
      </w:pPr>
      <w:r>
        <w:rPr>
          <w:rFonts w:hint="eastAsia"/>
        </w:rPr>
        <w:t>R</w:t>
      </w:r>
      <w:r>
        <w:t>egarding FG 43-</w:t>
      </w:r>
      <w:r w:rsidR="00752EC9">
        <w:t>5</w:t>
      </w:r>
      <w:r>
        <w:t xml:space="preserve"> (</w:t>
      </w:r>
      <w:r w:rsidR="00752EC9">
        <w:t>simultaneous UL transmission of backhaul link and C-link</w:t>
      </w:r>
      <w:r>
        <w:t xml:space="preserve">), </w:t>
      </w:r>
      <w:r w:rsidR="00752EC9">
        <w:t xml:space="preserve">there was a proposal to add a component on power allocation/sharing aspect as captured in </w:t>
      </w:r>
      <w:r w:rsidR="00410128">
        <w:fldChar w:fldCharType="begin"/>
      </w:r>
      <w:r w:rsidR="00410128">
        <w:instrText xml:space="preserve"> REF _Ref146101221 \h </w:instrText>
      </w:r>
      <w:r w:rsidR="00410128">
        <w:fldChar w:fldCharType="separate"/>
      </w:r>
      <w:r w:rsidR="00410128">
        <w:t xml:space="preserve">Table </w:t>
      </w:r>
      <w:r w:rsidR="00410128">
        <w:rPr>
          <w:noProof/>
        </w:rPr>
        <w:t>1</w:t>
      </w:r>
      <w:r w:rsidR="00410128">
        <w:fldChar w:fldCharType="end"/>
      </w:r>
      <w:r w:rsidR="00410128">
        <w:t>.</w:t>
      </w:r>
    </w:p>
    <w:p w14:paraId="31510B2A" w14:textId="3070D1B0" w:rsidR="0039640A" w:rsidRDefault="0039640A" w:rsidP="0039640A">
      <w:pPr>
        <w:pStyle w:val="maintext"/>
        <w:ind w:firstLine="440"/>
      </w:pPr>
    </w:p>
    <w:p w14:paraId="2D60B465" w14:textId="38D2A20D" w:rsidR="00410128" w:rsidRDefault="00410128" w:rsidP="00410128">
      <w:pPr>
        <w:pStyle w:val="a8"/>
        <w:keepNext/>
        <w:spacing w:after="120"/>
      </w:pPr>
      <w:bookmarkStart w:id="4" w:name="_Ref146101221"/>
      <w:r>
        <w:t xml:space="preserve">Table </w:t>
      </w:r>
      <w:fldSimple w:instr=" SEQ Table \* ARABIC ">
        <w:r>
          <w:rPr>
            <w:noProof/>
          </w:rPr>
          <w:t>1</w:t>
        </w:r>
      </w:fldSimple>
      <w:bookmarkEnd w:id="4"/>
      <w:r>
        <w:t xml:space="preserve">. A set of possible revisions on FG 43-5 from </w:t>
      </w:r>
      <w:r>
        <w:fldChar w:fldCharType="begin"/>
      </w:r>
      <w:r>
        <w:instrText xml:space="preserve"> REF _Ref146101181 \r \h </w:instrText>
      </w:r>
      <w:r>
        <w:fldChar w:fldCharType="separate"/>
      </w:r>
      <w:r>
        <w:t>[1]</w:t>
      </w:r>
      <w:r>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701"/>
        <w:gridCol w:w="2694"/>
        <w:gridCol w:w="4779"/>
      </w:tblGrid>
      <w:tr w:rsidR="00410128" w:rsidRPr="00410128" w14:paraId="5A15B0D0" w14:textId="77777777" w:rsidTr="00410128">
        <w:tc>
          <w:tcPr>
            <w:tcW w:w="562" w:type="dxa"/>
            <w:shd w:val="clear" w:color="auto" w:fill="auto"/>
          </w:tcPr>
          <w:p w14:paraId="3D5E1DE3" w14:textId="77777777" w:rsidR="00410128" w:rsidRPr="00410128" w:rsidRDefault="00410128" w:rsidP="00410128">
            <w:pPr>
              <w:pStyle w:val="maintext"/>
              <w:spacing w:before="0" w:after="0"/>
              <w:ind w:firstLineChars="0" w:firstLine="0"/>
            </w:pPr>
            <w:r w:rsidRPr="00410128">
              <w:t>43-5</w:t>
            </w:r>
          </w:p>
        </w:tc>
        <w:tc>
          <w:tcPr>
            <w:tcW w:w="1701" w:type="dxa"/>
            <w:shd w:val="clear" w:color="auto" w:fill="auto"/>
          </w:tcPr>
          <w:p w14:paraId="5EAD73E4" w14:textId="77777777" w:rsidR="00410128" w:rsidRPr="00410128" w:rsidRDefault="00410128" w:rsidP="00410128">
            <w:pPr>
              <w:pStyle w:val="maintext"/>
              <w:spacing w:before="0" w:after="0"/>
              <w:ind w:firstLineChars="0" w:firstLine="0"/>
            </w:pPr>
            <w:r w:rsidRPr="00410128">
              <w:t>Simultaneous UL transmission of backhaul link and C-link</w:t>
            </w:r>
          </w:p>
        </w:tc>
        <w:tc>
          <w:tcPr>
            <w:tcW w:w="2694" w:type="dxa"/>
            <w:shd w:val="clear" w:color="auto" w:fill="auto"/>
          </w:tcPr>
          <w:p w14:paraId="3F43D748" w14:textId="77777777" w:rsidR="00410128" w:rsidRPr="00410128" w:rsidRDefault="00410128" w:rsidP="00410128">
            <w:pPr>
              <w:pStyle w:val="maintext"/>
              <w:spacing w:before="0" w:after="0"/>
              <w:ind w:firstLineChars="0" w:firstLine="0"/>
              <w:rPr>
                <w:lang w:val="en-US"/>
              </w:rPr>
            </w:pPr>
            <w:r w:rsidRPr="00410128">
              <w:rPr>
                <w:lang w:val="en-US"/>
              </w:rPr>
              <w:t>1. Simultaneous UL transmission of backhaul link and C-link</w:t>
            </w:r>
          </w:p>
          <w:p w14:paraId="28A6BCC0" w14:textId="77777777" w:rsidR="00410128" w:rsidRPr="00410128" w:rsidRDefault="00410128" w:rsidP="00410128">
            <w:pPr>
              <w:pStyle w:val="maintext"/>
              <w:spacing w:before="0" w:after="0"/>
              <w:ind w:firstLineChars="0" w:firstLine="0"/>
            </w:pPr>
            <w:r w:rsidRPr="00410128">
              <w:rPr>
                <w:color w:val="FF0000"/>
              </w:rPr>
              <w:t>2. Power allocation/sharing between C-link and B-link of an NCR</w:t>
            </w:r>
          </w:p>
        </w:tc>
        <w:tc>
          <w:tcPr>
            <w:tcW w:w="4779" w:type="dxa"/>
            <w:shd w:val="clear" w:color="auto" w:fill="auto"/>
          </w:tcPr>
          <w:p w14:paraId="106408EE" w14:textId="77777777" w:rsidR="00410128" w:rsidRPr="00410128" w:rsidRDefault="00410128" w:rsidP="00410128">
            <w:pPr>
              <w:pStyle w:val="maintext"/>
              <w:spacing w:before="0" w:after="0"/>
              <w:ind w:firstLineChars="0" w:firstLine="0"/>
              <w:rPr>
                <w:color w:val="FF0000"/>
                <w:lang w:val="en-US"/>
              </w:rPr>
            </w:pPr>
            <w:r w:rsidRPr="00410128">
              <w:rPr>
                <w:color w:val="FF0000"/>
                <w:lang w:val="en-US"/>
              </w:rPr>
              <w:t>Component 2 candidate values: {Type 1, Type 2, Type 3}</w:t>
            </w:r>
          </w:p>
          <w:p w14:paraId="68B7403D" w14:textId="77777777" w:rsidR="00410128" w:rsidRPr="00410128" w:rsidRDefault="00410128" w:rsidP="00410128">
            <w:pPr>
              <w:pStyle w:val="maintext"/>
              <w:spacing w:before="0" w:after="0"/>
              <w:ind w:firstLineChars="0" w:firstLine="0"/>
              <w:rPr>
                <w:color w:val="FF0000"/>
                <w:lang w:val="en-US"/>
              </w:rPr>
            </w:pPr>
          </w:p>
          <w:p w14:paraId="592863B0" w14:textId="77777777" w:rsidR="00410128" w:rsidRPr="00410128" w:rsidRDefault="00410128" w:rsidP="00410128">
            <w:pPr>
              <w:pStyle w:val="maintext"/>
              <w:spacing w:before="0" w:after="0"/>
              <w:ind w:firstLineChars="0" w:firstLine="0"/>
              <w:rPr>
                <w:color w:val="FF0000"/>
                <w:lang w:val="en-US"/>
              </w:rPr>
            </w:pPr>
            <w:r w:rsidRPr="00410128">
              <w:rPr>
                <w:color w:val="FF0000"/>
                <w:lang w:val="en-US"/>
              </w:rPr>
              <w:t>Note:</w:t>
            </w:r>
          </w:p>
          <w:p w14:paraId="7D85369E" w14:textId="77777777" w:rsidR="00410128" w:rsidRPr="00410128" w:rsidRDefault="00410128" w:rsidP="00410128">
            <w:pPr>
              <w:pStyle w:val="maintext"/>
              <w:numPr>
                <w:ilvl w:val="0"/>
                <w:numId w:val="49"/>
              </w:numPr>
              <w:spacing w:before="0" w:after="0"/>
              <w:ind w:firstLineChars="0" w:firstLine="0"/>
              <w:rPr>
                <w:color w:val="FF0000"/>
                <w:lang w:val="en-US"/>
              </w:rPr>
            </w:pPr>
            <w:r w:rsidRPr="00410128">
              <w:rPr>
                <w:color w:val="FF0000"/>
                <w:lang w:val="en-US"/>
              </w:rPr>
              <w:t xml:space="preserve">For Type 1, NCR is not subject to a joint power limit across the C-link and BH-link. </w:t>
            </w:r>
          </w:p>
          <w:p w14:paraId="1DD639A4" w14:textId="77777777" w:rsidR="00410128" w:rsidRPr="00410128" w:rsidRDefault="00410128" w:rsidP="00410128">
            <w:pPr>
              <w:pStyle w:val="maintext"/>
              <w:numPr>
                <w:ilvl w:val="0"/>
                <w:numId w:val="49"/>
              </w:numPr>
              <w:spacing w:before="0" w:after="0"/>
              <w:ind w:firstLineChars="0" w:firstLine="0"/>
              <w:rPr>
                <w:color w:val="FF0000"/>
                <w:lang w:val="en-US"/>
              </w:rPr>
            </w:pPr>
            <w:r w:rsidRPr="00410128">
              <w:rPr>
                <w:color w:val="FF0000"/>
                <w:lang w:val="en-US"/>
              </w:rPr>
              <w:t>For Type 2, is subject to a joint power limit across the C-link and BH-link and supports power sharing when power limited.</w:t>
            </w:r>
          </w:p>
          <w:p w14:paraId="19580798" w14:textId="60C26CD6" w:rsidR="00410128" w:rsidRPr="00410128" w:rsidRDefault="00410128" w:rsidP="00410128">
            <w:pPr>
              <w:pStyle w:val="maintext"/>
              <w:numPr>
                <w:ilvl w:val="0"/>
                <w:numId w:val="49"/>
              </w:numPr>
              <w:spacing w:before="0" w:after="0"/>
              <w:ind w:firstLineChars="0" w:firstLine="0"/>
              <w:rPr>
                <w:color w:val="FF0000"/>
                <w:lang w:val="en-US"/>
              </w:rPr>
            </w:pPr>
            <w:r w:rsidRPr="00410128">
              <w:rPr>
                <w:color w:val="FF0000"/>
                <w:lang w:val="en-US"/>
              </w:rPr>
              <w:t>For Type 3, is subject to a joint power limit across the C-link and BH-link and does not support power sharing when power limited.</w:t>
            </w:r>
          </w:p>
        </w:tc>
      </w:tr>
    </w:tbl>
    <w:p w14:paraId="7329097A" w14:textId="085D8489" w:rsidR="00752EC9" w:rsidRPr="00410128" w:rsidRDefault="00752EC9" w:rsidP="0039640A">
      <w:pPr>
        <w:pStyle w:val="maintext"/>
        <w:ind w:firstLine="440"/>
        <w:rPr>
          <w:lang w:val="en-US"/>
        </w:rPr>
      </w:pPr>
    </w:p>
    <w:p w14:paraId="668480C6" w14:textId="6A5F123F" w:rsidR="00752EC9" w:rsidRDefault="00410128" w:rsidP="0039640A">
      <w:pPr>
        <w:pStyle w:val="maintext"/>
        <w:ind w:firstLine="440"/>
      </w:pPr>
      <w:r>
        <w:rPr>
          <w:rFonts w:hint="eastAsia"/>
        </w:rPr>
        <w:t>S</w:t>
      </w:r>
      <w:r>
        <w:t xml:space="preserve">ince </w:t>
      </w:r>
      <w:r w:rsidR="00E705D8">
        <w:t xml:space="preserve">Rel-18 </w:t>
      </w:r>
      <w:r>
        <w:t xml:space="preserve">NCR-MT </w:t>
      </w:r>
      <w:r w:rsidR="00E705D8">
        <w:t>will not support any enhanced uplink power control mechanisms other than existing ones (other than</w:t>
      </w:r>
      <w:r>
        <w:t xml:space="preserve"> FG 8-3 (basic power control operation)</w:t>
      </w:r>
      <w:r w:rsidR="00E705D8">
        <w:t xml:space="preserve">, frankly speaking), we think some of potential implementation types (i.e., type 1, 2, or 3 in </w:t>
      </w:r>
      <w:r w:rsidR="00E705D8">
        <w:fldChar w:fldCharType="begin"/>
      </w:r>
      <w:r w:rsidR="00E705D8">
        <w:instrText xml:space="preserve"> REF _Ref146101221 \h </w:instrText>
      </w:r>
      <w:r w:rsidR="00E705D8">
        <w:fldChar w:fldCharType="separate"/>
      </w:r>
      <w:r w:rsidR="00E705D8">
        <w:t xml:space="preserve">Table </w:t>
      </w:r>
      <w:r w:rsidR="00E705D8">
        <w:rPr>
          <w:noProof/>
        </w:rPr>
        <w:t>1</w:t>
      </w:r>
      <w:r w:rsidR="00E705D8">
        <w:fldChar w:fldCharType="end"/>
      </w:r>
      <w:r w:rsidR="00E705D8">
        <w:t xml:space="preserve">) may not be supported by Rel-18 NCR </w:t>
      </w:r>
      <w:r w:rsidR="007564A2">
        <w:t>specifications. For instance, the network cannot be aware of type 2 NCR and its operation based on the current specifications and hence such type of NCR node should not be implemented or deployed. On the other hand, type 1 NCR can be feasible if the NCR can clarify two independent/individual power classes, i.e., one for C-link and the other one for backhaul link. Type 3 NCR may be a possible option even if the NCR only clarifies a single power class</w:t>
      </w:r>
      <w:r w:rsidR="00E81177">
        <w:t xml:space="preserve"> for both C-link and backhaul link. In this case, it should be confirmed that power control for C-link has higher priority than power allocation for backhaul link given that the NCR-MT will apply the existing power control for C-link as agreed.</w:t>
      </w:r>
      <w:r w:rsidR="00B8194E">
        <w:t xml:space="preserve"> As the power class related work is up to RAN4, an LS may need to be sent to RAN4.</w:t>
      </w:r>
    </w:p>
    <w:p w14:paraId="1DAEBC87" w14:textId="77777777" w:rsidR="00752EC9" w:rsidRPr="0039640A" w:rsidRDefault="00752EC9" w:rsidP="0039640A">
      <w:pPr>
        <w:pStyle w:val="maintext"/>
        <w:ind w:firstLine="440"/>
      </w:pPr>
    </w:p>
    <w:p w14:paraId="74A3DA93" w14:textId="0371A229" w:rsidR="00E57870" w:rsidRDefault="00E57870" w:rsidP="00E57870">
      <w:pPr>
        <w:pStyle w:val="maintext"/>
        <w:ind w:left="440" w:hangingChars="200" w:hanging="440"/>
        <w:rPr>
          <w:b/>
          <w:bCs/>
        </w:rPr>
      </w:pPr>
      <w:r>
        <w:rPr>
          <w:rFonts w:hint="eastAsia"/>
          <w:b/>
          <w:bCs/>
        </w:rPr>
        <w:t>P</w:t>
      </w:r>
      <w:r>
        <w:rPr>
          <w:b/>
          <w:bCs/>
        </w:rPr>
        <w:t xml:space="preserve">roposal </w:t>
      </w:r>
      <w:r w:rsidR="00105619">
        <w:rPr>
          <w:b/>
          <w:bCs/>
        </w:rPr>
        <w:t>1</w:t>
      </w:r>
      <w:r>
        <w:rPr>
          <w:b/>
          <w:bCs/>
        </w:rPr>
        <w:t>.</w:t>
      </w:r>
      <w:r w:rsidR="00E81177">
        <w:rPr>
          <w:b/>
          <w:bCs/>
        </w:rPr>
        <w:t xml:space="preserve"> RAN1 to confirm the followings on simultaneous UL transmission of backhaul link and C-link:</w:t>
      </w:r>
    </w:p>
    <w:p w14:paraId="3966AA5B" w14:textId="6E4B1F9F" w:rsidR="00E81177" w:rsidRDefault="00E81177" w:rsidP="00E81177">
      <w:pPr>
        <w:pStyle w:val="maintext"/>
        <w:numPr>
          <w:ilvl w:val="0"/>
          <w:numId w:val="50"/>
        </w:numPr>
        <w:ind w:firstLineChars="0"/>
        <w:rPr>
          <w:b/>
          <w:bCs/>
        </w:rPr>
      </w:pPr>
      <w:r>
        <w:rPr>
          <w:rFonts w:hint="eastAsia"/>
          <w:b/>
          <w:bCs/>
        </w:rPr>
        <w:t>A</w:t>
      </w:r>
      <w:r>
        <w:rPr>
          <w:b/>
          <w:bCs/>
        </w:rPr>
        <w:t xml:space="preserve">t least three types of implementations can be considered for </w:t>
      </w:r>
      <w:r w:rsidRPr="00E81177">
        <w:rPr>
          <w:b/>
          <w:bCs/>
        </w:rPr>
        <w:t>UL transmission of backhaul link and C-link</w:t>
      </w:r>
    </w:p>
    <w:p w14:paraId="095B4937" w14:textId="77777777" w:rsidR="00E81177" w:rsidRPr="00E81177" w:rsidRDefault="00E81177" w:rsidP="00E81177">
      <w:pPr>
        <w:pStyle w:val="maintext"/>
        <w:numPr>
          <w:ilvl w:val="1"/>
          <w:numId w:val="50"/>
        </w:numPr>
        <w:ind w:firstLineChars="0"/>
        <w:rPr>
          <w:b/>
          <w:bCs/>
        </w:rPr>
      </w:pPr>
      <w:r w:rsidRPr="00E81177">
        <w:rPr>
          <w:b/>
          <w:bCs/>
        </w:rPr>
        <w:t xml:space="preserve">For Type 1, NCR is not subject to a joint power limit across the C-link and BH-link. </w:t>
      </w:r>
    </w:p>
    <w:p w14:paraId="0E146886" w14:textId="77777777" w:rsidR="00E81177" w:rsidRPr="00E81177" w:rsidRDefault="00E81177" w:rsidP="00E81177">
      <w:pPr>
        <w:pStyle w:val="maintext"/>
        <w:numPr>
          <w:ilvl w:val="1"/>
          <w:numId w:val="50"/>
        </w:numPr>
        <w:ind w:firstLineChars="0"/>
        <w:rPr>
          <w:b/>
          <w:bCs/>
        </w:rPr>
      </w:pPr>
      <w:r w:rsidRPr="00E81177">
        <w:rPr>
          <w:b/>
          <w:bCs/>
        </w:rPr>
        <w:t>For Type 2, is subject to a joint power limit across the C-link and BH-link and supports power sharing when power limited.</w:t>
      </w:r>
    </w:p>
    <w:p w14:paraId="530908BA" w14:textId="3FFA903B" w:rsidR="00E81177" w:rsidRDefault="00E81177" w:rsidP="00E81177">
      <w:pPr>
        <w:pStyle w:val="maintext"/>
        <w:numPr>
          <w:ilvl w:val="1"/>
          <w:numId w:val="50"/>
        </w:numPr>
        <w:ind w:firstLineChars="0"/>
        <w:rPr>
          <w:b/>
          <w:bCs/>
        </w:rPr>
      </w:pPr>
      <w:r w:rsidRPr="00E81177">
        <w:rPr>
          <w:b/>
          <w:bCs/>
        </w:rPr>
        <w:t>For Type 3, is subject to a joint power limit across the C-link and BH-link and does not support power sharing when power limited</w:t>
      </w:r>
    </w:p>
    <w:p w14:paraId="1FDD2FB6" w14:textId="77777777" w:rsidR="00AF11F4" w:rsidRDefault="00B8194E" w:rsidP="00E81177">
      <w:pPr>
        <w:pStyle w:val="maintext"/>
        <w:numPr>
          <w:ilvl w:val="0"/>
          <w:numId w:val="50"/>
        </w:numPr>
        <w:ind w:firstLineChars="0"/>
        <w:rPr>
          <w:b/>
          <w:bCs/>
        </w:rPr>
      </w:pPr>
      <w:r>
        <w:rPr>
          <w:b/>
          <w:bCs/>
        </w:rPr>
        <w:t>T</w:t>
      </w:r>
      <w:r w:rsidR="00E81177" w:rsidRPr="00E81177">
        <w:rPr>
          <w:b/>
          <w:bCs/>
        </w:rPr>
        <w:t>ype 1 NCR can be feasible</w:t>
      </w:r>
      <w:r w:rsidR="00AF11F4">
        <w:rPr>
          <w:b/>
          <w:bCs/>
        </w:rPr>
        <w:t>,</w:t>
      </w:r>
      <w:r w:rsidR="00E81177" w:rsidRPr="00E81177">
        <w:rPr>
          <w:b/>
          <w:bCs/>
        </w:rPr>
        <w:t xml:space="preserve"> </w:t>
      </w:r>
    </w:p>
    <w:p w14:paraId="51441D3A" w14:textId="7E603046" w:rsidR="00E81177" w:rsidRDefault="00E81177" w:rsidP="00AF11F4">
      <w:pPr>
        <w:pStyle w:val="maintext"/>
        <w:numPr>
          <w:ilvl w:val="1"/>
          <w:numId w:val="50"/>
        </w:numPr>
        <w:ind w:firstLineChars="0"/>
        <w:rPr>
          <w:b/>
          <w:bCs/>
        </w:rPr>
      </w:pPr>
      <w:r w:rsidRPr="00E81177">
        <w:rPr>
          <w:b/>
          <w:bCs/>
        </w:rPr>
        <w:t>if the NCR can clarify two independent/individual power classes, i.e., one for C-link and the other one for backhaul link</w:t>
      </w:r>
      <w:r w:rsidR="00AF11F4">
        <w:rPr>
          <w:b/>
          <w:bCs/>
        </w:rPr>
        <w:t>,</w:t>
      </w:r>
    </w:p>
    <w:p w14:paraId="4B28F0EE" w14:textId="54B134F4" w:rsidR="00AF11F4" w:rsidRDefault="00AF11F4" w:rsidP="00AF11F4">
      <w:pPr>
        <w:pStyle w:val="maintext"/>
        <w:numPr>
          <w:ilvl w:val="1"/>
          <w:numId w:val="50"/>
        </w:numPr>
        <w:ind w:firstLineChars="0"/>
        <w:rPr>
          <w:b/>
          <w:bCs/>
        </w:rPr>
      </w:pPr>
      <w:r>
        <w:rPr>
          <w:b/>
          <w:bCs/>
        </w:rPr>
        <w:t xml:space="preserve">or if </w:t>
      </w:r>
      <w:r w:rsidRPr="00E81177">
        <w:rPr>
          <w:b/>
          <w:bCs/>
        </w:rPr>
        <w:t>the NCR can clarif</w:t>
      </w:r>
      <w:r>
        <w:rPr>
          <w:b/>
          <w:bCs/>
        </w:rPr>
        <w:t>y</w:t>
      </w:r>
      <w:r w:rsidRPr="00E81177">
        <w:rPr>
          <w:b/>
          <w:bCs/>
        </w:rPr>
        <w:t xml:space="preserve"> </w:t>
      </w:r>
      <w:r>
        <w:rPr>
          <w:b/>
          <w:bCs/>
        </w:rPr>
        <w:t>a single</w:t>
      </w:r>
      <w:r w:rsidRPr="00E81177">
        <w:rPr>
          <w:b/>
          <w:bCs/>
        </w:rPr>
        <w:t xml:space="preserve"> power class,</w:t>
      </w:r>
      <w:r>
        <w:rPr>
          <w:b/>
          <w:bCs/>
        </w:rPr>
        <w:t xml:space="preserve"> while the clarified power class</w:t>
      </w:r>
      <w:r w:rsidR="00715A12">
        <w:rPr>
          <w:b/>
          <w:bCs/>
        </w:rPr>
        <w:t xml:space="preserve"> is independently applied for C-link and backhaul link, respectively.</w:t>
      </w:r>
    </w:p>
    <w:p w14:paraId="21773646" w14:textId="5DDD0A3C" w:rsidR="00B8194E" w:rsidRDefault="00B8194E" w:rsidP="00E81177">
      <w:pPr>
        <w:pStyle w:val="maintext"/>
        <w:numPr>
          <w:ilvl w:val="0"/>
          <w:numId w:val="50"/>
        </w:numPr>
        <w:ind w:firstLineChars="0"/>
        <w:rPr>
          <w:b/>
          <w:bCs/>
        </w:rPr>
      </w:pPr>
      <w:r>
        <w:rPr>
          <w:rFonts w:hint="eastAsia"/>
          <w:b/>
          <w:bCs/>
        </w:rPr>
        <w:t>T</w:t>
      </w:r>
      <w:r>
        <w:rPr>
          <w:b/>
          <w:bCs/>
        </w:rPr>
        <w:t xml:space="preserve">ype 2 NCR </w:t>
      </w:r>
      <w:r w:rsidR="00AF11F4">
        <w:rPr>
          <w:b/>
          <w:bCs/>
        </w:rPr>
        <w:t>are not supported by Rel-18 NCR specifications.</w:t>
      </w:r>
    </w:p>
    <w:p w14:paraId="3F03B832" w14:textId="77777777" w:rsidR="00AF11F4" w:rsidRDefault="00AF11F4" w:rsidP="00E81177">
      <w:pPr>
        <w:pStyle w:val="maintext"/>
        <w:numPr>
          <w:ilvl w:val="0"/>
          <w:numId w:val="50"/>
        </w:numPr>
        <w:ind w:firstLineChars="0"/>
        <w:rPr>
          <w:b/>
          <w:bCs/>
        </w:rPr>
      </w:pPr>
      <w:r w:rsidRPr="00AF11F4">
        <w:rPr>
          <w:b/>
          <w:bCs/>
        </w:rPr>
        <w:t xml:space="preserve">Type 3 NCR </w:t>
      </w:r>
      <w:r>
        <w:rPr>
          <w:b/>
          <w:bCs/>
        </w:rPr>
        <w:t>is feasible with</w:t>
      </w:r>
      <w:r w:rsidRPr="00AF11F4">
        <w:rPr>
          <w:b/>
          <w:bCs/>
        </w:rPr>
        <w:t xml:space="preserve"> a single power class for both C-link and backhaul link. </w:t>
      </w:r>
    </w:p>
    <w:p w14:paraId="03DE93B7" w14:textId="54F1101B" w:rsidR="00AF11F4" w:rsidRDefault="00AF11F4" w:rsidP="00AF11F4">
      <w:pPr>
        <w:pStyle w:val="maintext"/>
        <w:numPr>
          <w:ilvl w:val="1"/>
          <w:numId w:val="50"/>
        </w:numPr>
        <w:ind w:firstLineChars="0"/>
        <w:rPr>
          <w:b/>
          <w:bCs/>
        </w:rPr>
      </w:pPr>
      <w:r w:rsidRPr="00AF11F4">
        <w:rPr>
          <w:b/>
          <w:bCs/>
        </w:rPr>
        <w:t>In this case, it should be confirmed that power control for C-link has higher priority than power allocation for backhaul link given that the NCR-MT will apply the existing power control for C-link as agreed.</w:t>
      </w:r>
    </w:p>
    <w:p w14:paraId="7174025E" w14:textId="671E1EBC" w:rsidR="0039640A" w:rsidRDefault="0039640A" w:rsidP="0039640A">
      <w:pPr>
        <w:pStyle w:val="maintext"/>
        <w:ind w:firstLine="440"/>
      </w:pPr>
    </w:p>
    <w:p w14:paraId="11F9E5D1" w14:textId="0B8977B8" w:rsidR="00AF11F4" w:rsidRDefault="00AF11F4" w:rsidP="00AF11F4">
      <w:pPr>
        <w:pStyle w:val="maintext"/>
        <w:ind w:left="440" w:hangingChars="200" w:hanging="440"/>
        <w:rPr>
          <w:b/>
          <w:bCs/>
        </w:rPr>
      </w:pPr>
      <w:r>
        <w:rPr>
          <w:rFonts w:hint="eastAsia"/>
          <w:b/>
          <w:bCs/>
        </w:rPr>
        <w:t>P</w:t>
      </w:r>
      <w:r>
        <w:rPr>
          <w:b/>
          <w:bCs/>
        </w:rPr>
        <w:t>roposal 2. Send LS to RAN4 informing them about the RAN1 conclusion on NCR power class according to various implementation choices for simultaneous UL transmission of backhaul link and C-link.</w:t>
      </w:r>
    </w:p>
    <w:p w14:paraId="3352FE7E" w14:textId="77777777" w:rsidR="00AF11F4" w:rsidRPr="00E625BF" w:rsidRDefault="00AF11F4" w:rsidP="0039640A">
      <w:pPr>
        <w:pStyle w:val="maintext"/>
        <w:ind w:firstLine="440"/>
      </w:pPr>
    </w:p>
    <w:p w14:paraId="1FEB483E" w14:textId="09A66E96" w:rsidR="0004291D" w:rsidRDefault="0039640A" w:rsidP="00C60FFA">
      <w:pPr>
        <w:pStyle w:val="2"/>
        <w:spacing w:after="120"/>
      </w:pPr>
      <w:r w:rsidRPr="000A209D">
        <w:rPr>
          <w:color w:val="000000" w:themeColor="text1"/>
          <w:szCs w:val="18"/>
          <w:lang w:eastAsia="zh-CN"/>
        </w:rPr>
        <w:t xml:space="preserve">UL transmission </w:t>
      </w:r>
      <w:r w:rsidR="00105619">
        <w:rPr>
          <w:color w:val="000000" w:themeColor="text1"/>
          <w:szCs w:val="18"/>
          <w:lang w:eastAsia="zh-CN"/>
        </w:rPr>
        <w:t>power of NCR</w:t>
      </w:r>
    </w:p>
    <w:p w14:paraId="7256E5D2" w14:textId="088704D5" w:rsidR="00707EBA" w:rsidRDefault="00705CAC" w:rsidP="0076767D">
      <w:pPr>
        <w:pStyle w:val="maintext"/>
        <w:ind w:firstLine="440"/>
      </w:pPr>
      <w:r>
        <w:t xml:space="preserve">As captured in </w:t>
      </w:r>
      <w:r>
        <w:fldChar w:fldCharType="begin"/>
      </w:r>
      <w:r>
        <w:instrText xml:space="preserve"> REF _Ref131672901 \h </w:instrText>
      </w:r>
      <w:r>
        <w:fldChar w:fldCharType="separate"/>
      </w:r>
      <w:r w:rsidR="0060477C">
        <w:t xml:space="preserve">Table </w:t>
      </w:r>
      <w:r w:rsidR="0060477C">
        <w:rPr>
          <w:noProof/>
        </w:rPr>
        <w:t>1</w:t>
      </w:r>
      <w:r>
        <w:fldChar w:fldCharType="end"/>
      </w:r>
      <w:r w:rsidR="009F0F74">
        <w:t>, it is clarified that the IAB-MT configured output power</w:t>
      </w:r>
      <w:r w:rsidR="00C668F1">
        <w:t>,</w:t>
      </w:r>
      <w:r>
        <w:t xml:space="preserve"> </w:t>
      </w:r>
      <w:proofErr w:type="gramStart"/>
      <w:r>
        <w:rPr>
          <w:rFonts w:eastAsia="Times New Roman" w:cs="+mn-cs"/>
          <w:color w:val="000000"/>
          <w:kern w:val="24"/>
          <w:sz w:val="20"/>
        </w:rPr>
        <w:t>P</w:t>
      </w:r>
      <w:proofErr w:type="spellStart"/>
      <w:r>
        <w:rPr>
          <w:rFonts w:eastAsia="Times New Roman" w:cs="+mn-cs"/>
          <w:color w:val="000000"/>
          <w:kern w:val="24"/>
          <w:position w:val="-5"/>
          <w:sz w:val="20"/>
          <w:vertAlign w:val="subscript"/>
        </w:rPr>
        <w:t>CMAX,f</w:t>
      </w:r>
      <w:proofErr w:type="gramEnd"/>
      <w:r>
        <w:rPr>
          <w:rFonts w:eastAsia="Times New Roman" w:cs="+mn-cs"/>
          <w:color w:val="000000"/>
          <w:kern w:val="24"/>
          <w:position w:val="-5"/>
          <w:sz w:val="20"/>
          <w:vertAlign w:val="subscript"/>
        </w:rPr>
        <w:t>,c</w:t>
      </w:r>
      <w:proofErr w:type="spellEnd"/>
      <w:r w:rsidR="00C668F1">
        <w:t xml:space="preserve">, </w:t>
      </w:r>
      <w:r w:rsidR="009F0F74">
        <w:t>is set by</w:t>
      </w:r>
      <w:r w:rsidR="00C668F1">
        <w:t xml:space="preserve"> rated EIRP,</w:t>
      </w:r>
      <w:r w:rsidR="009F0F74">
        <w:t xml:space="preserve"> </w:t>
      </w:r>
      <w:proofErr w:type="spellStart"/>
      <w:r w:rsidR="009F0F74" w:rsidRPr="009F0F74">
        <w:rPr>
          <w:lang w:val="en-US"/>
        </w:rPr>
        <w:t>P</w:t>
      </w:r>
      <w:r w:rsidR="009F0F74" w:rsidRPr="009F0F74">
        <w:rPr>
          <w:vertAlign w:val="subscript"/>
          <w:lang w:val="en-US"/>
        </w:rPr>
        <w:t>Rated,c,EIRP</w:t>
      </w:r>
      <w:proofErr w:type="spellEnd"/>
      <w:r w:rsidR="00C668F1">
        <w:t xml:space="preserve">, </w:t>
      </w:r>
      <w:r w:rsidR="009F0F74">
        <w:t>as declared by manufacturer</w:t>
      </w:r>
      <w:r>
        <w:t>.</w:t>
      </w:r>
    </w:p>
    <w:p w14:paraId="525F79CA" w14:textId="77777777" w:rsidR="00705CAC" w:rsidRPr="00C668F1" w:rsidRDefault="00705CAC" w:rsidP="0076767D">
      <w:pPr>
        <w:pStyle w:val="maintext"/>
        <w:ind w:firstLine="440"/>
      </w:pPr>
    </w:p>
    <w:p w14:paraId="01F67952" w14:textId="3FDD0948" w:rsidR="00705CAC" w:rsidRDefault="00705CAC" w:rsidP="00705CAC">
      <w:pPr>
        <w:pStyle w:val="a8"/>
        <w:keepNext/>
        <w:spacing w:after="120"/>
      </w:pPr>
      <w:bookmarkStart w:id="5" w:name="_Ref131672901"/>
      <w:r>
        <w:t xml:space="preserve">Table </w:t>
      </w:r>
      <w:fldSimple w:instr=" SEQ Table \* ARABIC ">
        <w:r w:rsidR="00410128">
          <w:rPr>
            <w:noProof/>
          </w:rPr>
          <w:t>2</w:t>
        </w:r>
      </w:fldSimple>
      <w:bookmarkEnd w:id="5"/>
      <w:r>
        <w:t xml:space="preserve">. Specification on IAB-MT configured output power </w:t>
      </w:r>
      <w:r>
        <w:fldChar w:fldCharType="begin"/>
      </w:r>
      <w:r>
        <w:instrText xml:space="preserve"> REF _Ref131672311 \r \h </w:instrText>
      </w:r>
      <w:r>
        <w:fldChar w:fldCharType="separate"/>
      </w:r>
      <w:r w:rsidR="0060477C">
        <w:t>[1]</w:t>
      </w:r>
      <w:r>
        <w:fldChar w:fldCharType="end"/>
      </w:r>
      <w:r>
        <w:t>.</w:t>
      </w:r>
    </w:p>
    <w:tbl>
      <w:tblPr>
        <w:tblStyle w:val="a6"/>
        <w:tblW w:w="0" w:type="auto"/>
        <w:tblLook w:val="04A0" w:firstRow="1" w:lastRow="0" w:firstColumn="1" w:lastColumn="0" w:noHBand="0" w:noVBand="1"/>
      </w:tblPr>
      <w:tblGrid>
        <w:gridCol w:w="9736"/>
      </w:tblGrid>
      <w:tr w:rsidR="00705CAC" w14:paraId="4AAA66D1" w14:textId="77777777" w:rsidTr="00705CAC">
        <w:tc>
          <w:tcPr>
            <w:tcW w:w="9736" w:type="dxa"/>
          </w:tcPr>
          <w:p w14:paraId="0E788395" w14:textId="77777777" w:rsidR="00705CAC" w:rsidRDefault="00705CAC" w:rsidP="00705CAC">
            <w:pPr>
              <w:pStyle w:val="ae"/>
              <w:wordWrap w:val="0"/>
              <w:overflowPunct w:val="0"/>
              <w:spacing w:before="120" w:beforeAutospacing="0" w:after="120" w:afterAutospacing="0"/>
            </w:pPr>
            <w:r>
              <w:rPr>
                <w:rFonts w:ascii="Arial" w:eastAsia="MS Mincho" w:hAnsi="Arial" w:cs="Times New Roman"/>
                <w:b/>
                <w:bCs/>
                <w:color w:val="000000"/>
                <w:kern w:val="24"/>
                <w:sz w:val="28"/>
                <w:szCs w:val="28"/>
                <w:lang w:val="en-GB"/>
              </w:rPr>
              <w:t>9.2.4</w:t>
            </w:r>
            <w:r>
              <w:rPr>
                <w:rFonts w:ascii="Arial" w:eastAsia="MS Mincho" w:hAnsi="Arial" w:cs="Times New Roman"/>
                <w:b/>
                <w:bCs/>
                <w:color w:val="000000"/>
                <w:kern w:val="24"/>
                <w:sz w:val="28"/>
                <w:szCs w:val="28"/>
                <w:lang w:val="en-GB"/>
              </w:rPr>
              <w:tab/>
              <w:t>Configured radiated output power</w:t>
            </w:r>
          </w:p>
          <w:p w14:paraId="405CB11D" w14:textId="77777777" w:rsidR="00705CAC" w:rsidRDefault="00705CAC" w:rsidP="00705CAC">
            <w:pPr>
              <w:pStyle w:val="ae"/>
              <w:wordWrap w:val="0"/>
              <w:overflowPunct w:val="0"/>
              <w:spacing w:before="120" w:beforeAutospacing="0" w:after="120" w:afterAutospacing="0"/>
              <w:ind w:left="1411" w:hanging="1411"/>
            </w:pPr>
            <w:r>
              <w:rPr>
                <w:rFonts w:ascii="Arial" w:eastAsia="MS Mincho" w:hAnsi="Arial" w:cs="Times New Roman"/>
                <w:b/>
                <w:bCs/>
                <w:color w:val="000000"/>
                <w:kern w:val="24"/>
                <w:lang w:val="en-GB"/>
              </w:rPr>
              <w:t>9.2.4.1</w:t>
            </w:r>
            <w:r>
              <w:rPr>
                <w:rFonts w:ascii="Arial" w:eastAsia="MS Mincho" w:hAnsi="Arial" w:cs="Times New Roman"/>
                <w:b/>
                <w:bCs/>
                <w:color w:val="000000"/>
                <w:kern w:val="24"/>
                <w:lang w:val="en-GB"/>
              </w:rPr>
              <w:tab/>
              <w:t>IAB-MT configured output power for IAB-MT type 1-H, 1-O and 2-O</w:t>
            </w:r>
          </w:p>
          <w:p w14:paraId="3F03720A" w14:textId="77777777" w:rsidR="00705CAC" w:rsidRDefault="00705CAC" w:rsidP="00705CAC">
            <w:pPr>
              <w:pStyle w:val="ae"/>
              <w:wordWrap w:val="0"/>
              <w:overflowPunct w:val="0"/>
              <w:spacing w:before="0" w:beforeAutospacing="0" w:after="120" w:afterAutospacing="0"/>
              <w:ind w:left="562" w:hanging="288"/>
            </w:pPr>
            <w:r>
              <w:rPr>
                <w:rFonts w:ascii="Times New Roman" w:eastAsia="Times New Roman" w:hAnsi="Times New Roman" w:cs="+mn-cs"/>
                <w:color w:val="000000"/>
                <w:kern w:val="24"/>
                <w:sz w:val="20"/>
                <w:szCs w:val="20"/>
                <w:lang w:val="en-GB"/>
              </w:rPr>
              <w:t xml:space="preserve">The configured maximum output power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is set in each slot according to the following equation:</w:t>
            </w:r>
          </w:p>
          <w:p w14:paraId="023AAE92" w14:textId="77777777" w:rsidR="00705CAC" w:rsidRDefault="00705CAC" w:rsidP="00705CAC">
            <w:pPr>
              <w:pStyle w:val="ae"/>
              <w:wordWrap w:val="0"/>
              <w:overflowPunct w:val="0"/>
              <w:spacing w:before="0" w:beforeAutospacing="0" w:after="120" w:afterAutospacing="0"/>
              <w:jc w:val="center"/>
            </w:pP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 P</w:t>
            </w:r>
            <w:proofErr w:type="spellStart"/>
            <w:r>
              <w:rPr>
                <w:rFonts w:ascii="Times New Roman" w:eastAsia="Times New Roman" w:hAnsi="Times New Roman" w:cs="+mn-cs"/>
                <w:color w:val="000000"/>
                <w:kern w:val="24"/>
                <w:position w:val="-5"/>
                <w:sz w:val="20"/>
                <w:szCs w:val="20"/>
                <w:vertAlign w:val="subscript"/>
                <w:lang w:val="en-GB"/>
              </w:rPr>
              <w:t>Rated,c,EIRP</w:t>
            </w:r>
            <w:proofErr w:type="spellEnd"/>
          </w:p>
          <w:p w14:paraId="0CD4616E" w14:textId="64BB53D4" w:rsidR="00705CAC" w:rsidRPr="00705CAC" w:rsidRDefault="00705CAC" w:rsidP="00705CAC">
            <w:pPr>
              <w:pStyle w:val="ae"/>
              <w:wordWrap w:val="0"/>
              <w:overflowPunct w:val="0"/>
              <w:spacing w:before="0" w:beforeAutospacing="0" w:after="120" w:afterAutospacing="0"/>
            </w:pPr>
            <w:r>
              <w:rPr>
                <w:rFonts w:ascii="Times New Roman" w:eastAsia="Times New Roman" w:hAnsi="Times New Roman" w:cs="+mn-cs"/>
                <w:color w:val="000000"/>
                <w:kern w:val="24"/>
                <w:sz w:val="20"/>
                <w:szCs w:val="20"/>
                <w:lang w:val="en-GB"/>
              </w:rPr>
              <w:t xml:space="preserve">where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Rated,c</w:t>
            </w:r>
            <w:proofErr w:type="gramEnd"/>
            <w:r>
              <w:rPr>
                <w:rFonts w:ascii="Times New Roman" w:eastAsia="Times New Roman" w:hAnsi="Times New Roman" w:cs="+mn-cs"/>
                <w:color w:val="000000"/>
                <w:kern w:val="24"/>
                <w:position w:val="-5"/>
                <w:sz w:val="20"/>
                <w:szCs w:val="20"/>
                <w:vertAlign w:val="subscript"/>
                <w:lang w:val="en-GB"/>
              </w:rPr>
              <w:t>,EIRP</w:t>
            </w:r>
            <w:proofErr w:type="spellEnd"/>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is declared</w:t>
            </w:r>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 xml:space="preserve">by manufacturer. </w:t>
            </w:r>
          </w:p>
        </w:tc>
      </w:tr>
    </w:tbl>
    <w:p w14:paraId="1AD30F4B" w14:textId="6A3430C2" w:rsidR="006E0BD6" w:rsidRDefault="006E0BD6" w:rsidP="0076767D">
      <w:pPr>
        <w:pStyle w:val="maintext"/>
        <w:ind w:firstLine="440"/>
      </w:pPr>
    </w:p>
    <w:p w14:paraId="6F3F6AA0" w14:textId="3CA3C8B8" w:rsidR="00705CAC" w:rsidRPr="0076767D" w:rsidRDefault="00705CAC" w:rsidP="0076767D">
      <w:pPr>
        <w:pStyle w:val="maintext"/>
        <w:ind w:firstLine="440"/>
      </w:pPr>
      <w:r>
        <w:rPr>
          <w:rFonts w:hint="eastAsia"/>
        </w:rPr>
        <w:t>F</w:t>
      </w:r>
      <w:r>
        <w:t xml:space="preserve">urthermore, it is also noted that the typical UE capability </w:t>
      </w:r>
      <w:proofErr w:type="spellStart"/>
      <w:r>
        <w:t>signaling</w:t>
      </w:r>
      <w:proofErr w:type="spellEnd"/>
      <w:r>
        <w:t xml:space="preserve"> on power class is not applicable for IAB-MT as highlighted in </w:t>
      </w:r>
      <w:r>
        <w:fldChar w:fldCharType="begin"/>
      </w:r>
      <w:r>
        <w:instrText xml:space="preserve"> REF _Ref131673168 \h </w:instrText>
      </w:r>
      <w:r>
        <w:fldChar w:fldCharType="separate"/>
      </w:r>
      <w:r w:rsidR="0060477C">
        <w:t xml:space="preserve">Table </w:t>
      </w:r>
      <w:r w:rsidR="0060477C">
        <w:rPr>
          <w:noProof/>
        </w:rPr>
        <w:t>2</w:t>
      </w:r>
      <w:r>
        <w:fldChar w:fldCharType="end"/>
      </w:r>
      <w:r>
        <w:t>.</w:t>
      </w:r>
    </w:p>
    <w:p w14:paraId="162A2084" w14:textId="41AD1ACE" w:rsidR="006E0BD6" w:rsidRDefault="006E0BD6" w:rsidP="0076767D">
      <w:pPr>
        <w:pStyle w:val="maintext"/>
        <w:ind w:firstLine="440"/>
      </w:pPr>
    </w:p>
    <w:p w14:paraId="12137422" w14:textId="08B3F6ED" w:rsidR="00705CAC" w:rsidRDefault="00705CAC" w:rsidP="00705CAC">
      <w:pPr>
        <w:pStyle w:val="a8"/>
        <w:keepNext/>
        <w:spacing w:after="120"/>
      </w:pPr>
      <w:bookmarkStart w:id="6" w:name="_Ref131673168"/>
      <w:r>
        <w:lastRenderedPageBreak/>
        <w:t xml:space="preserve">Table </w:t>
      </w:r>
      <w:fldSimple w:instr=" SEQ Table \* ARABIC ">
        <w:r w:rsidR="00410128">
          <w:rPr>
            <w:noProof/>
          </w:rPr>
          <w:t>3</w:t>
        </w:r>
      </w:fldSimple>
      <w:bookmarkEnd w:id="6"/>
      <w:r>
        <w:t xml:space="preserve">. UE capability signaling on power class </w:t>
      </w:r>
      <w:r>
        <w:fldChar w:fldCharType="begin"/>
      </w:r>
      <w:r>
        <w:instrText xml:space="preserve"> REF _Ref131673272 \r \h </w:instrText>
      </w:r>
      <w:r>
        <w:fldChar w:fldCharType="separate"/>
      </w:r>
      <w:r w:rsidR="0060477C">
        <w:t>[3]</w:t>
      </w:r>
      <w:r>
        <w:fldChar w:fldCharType="end"/>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5CAC" w:rsidRPr="00AD05EA" w:rsidDel="002B6D02" w14:paraId="58F12221" w14:textId="77777777" w:rsidTr="00AE051C">
        <w:trPr>
          <w:cantSplit/>
          <w:tblHeader/>
        </w:trPr>
        <w:tc>
          <w:tcPr>
            <w:tcW w:w="6917" w:type="dxa"/>
          </w:tcPr>
          <w:p w14:paraId="0F5B063C"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320AE305" w14:textId="77777777" w:rsidR="00705CAC" w:rsidRPr="00AD05EA" w:rsidDel="002B6D02"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705CAC">
              <w:rPr>
                <w:rFonts w:ascii="Arial" w:eastAsia="Times New Roman" w:hAnsi="Arial"/>
                <w:bCs/>
                <w:iCs/>
                <w:kern w:val="0"/>
                <w:sz w:val="18"/>
                <w:szCs w:val="20"/>
                <w:highlight w:val="yellow"/>
                <w:lang w:val="en-GB" w:eastAsia="ja-JP"/>
              </w:rPr>
              <w:t>This capability is not applicable to IAB-MT</w:t>
            </w:r>
            <w:r w:rsidRPr="00AD05EA">
              <w:rPr>
                <w:rFonts w:ascii="Arial" w:eastAsia="Times New Roman" w:hAnsi="Arial"/>
                <w:bCs/>
                <w:iCs/>
                <w:kern w:val="0"/>
                <w:sz w:val="18"/>
                <w:szCs w:val="20"/>
                <w:lang w:val="en-GB" w:eastAsia="ja-JP"/>
              </w:rPr>
              <w:t>.</w:t>
            </w:r>
          </w:p>
        </w:tc>
        <w:tc>
          <w:tcPr>
            <w:tcW w:w="709" w:type="dxa"/>
          </w:tcPr>
          <w:p w14:paraId="66B40BA2"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242F375F"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426BF21B"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4233D14C"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705CAC" w:rsidRPr="00AD05EA" w14:paraId="78409AEE" w14:textId="77777777" w:rsidTr="00AE051C">
        <w:trPr>
          <w:cantSplit/>
          <w:tblHeader/>
        </w:trPr>
        <w:tc>
          <w:tcPr>
            <w:tcW w:w="6917" w:type="dxa"/>
          </w:tcPr>
          <w:p w14:paraId="35B73DCE"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51CADE4D"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BF2156"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356ED9A1"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789FB2DA"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219D4C55"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2A862B87"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618481D6" w14:textId="77777777" w:rsidR="00705CAC" w:rsidRDefault="00705CAC" w:rsidP="00705CAC">
      <w:pPr>
        <w:pStyle w:val="maintext"/>
        <w:ind w:firstLine="440"/>
      </w:pPr>
    </w:p>
    <w:p w14:paraId="1C2F1D71" w14:textId="79CC22E8" w:rsidR="00EA0C88" w:rsidRPr="00AD05EA" w:rsidRDefault="00EA0C88" w:rsidP="00EA0C88">
      <w:pPr>
        <w:pStyle w:val="maintext"/>
        <w:ind w:firstLine="440"/>
      </w:pPr>
      <w:r>
        <w:rPr>
          <w:rFonts w:hint="eastAsia"/>
        </w:rPr>
        <w:t>C</w:t>
      </w:r>
      <w:r>
        <w:t>onsequently, t</w:t>
      </w:r>
      <w:r w:rsidRPr="00AD05EA">
        <w:t xml:space="preserve">he following </w:t>
      </w:r>
      <w:r>
        <w:t>aspects</w:t>
      </w:r>
      <w:r w:rsidRPr="00AD05EA">
        <w:t xml:space="preserve"> are not </w:t>
      </w:r>
      <w:r>
        <w:t>considered for IAB-MT configured output power calculation:</w:t>
      </w:r>
    </w:p>
    <w:p w14:paraId="4D35C021" w14:textId="749A6AA2" w:rsidR="00EA0C88" w:rsidRPr="00EA0C88" w:rsidRDefault="00EA0C88" w:rsidP="00EA0C88">
      <w:pPr>
        <w:pStyle w:val="maintext"/>
        <w:numPr>
          <w:ilvl w:val="0"/>
          <w:numId w:val="47"/>
        </w:numPr>
        <w:ind w:firstLineChars="0"/>
      </w:pPr>
      <w:r w:rsidRPr="00AD05EA">
        <w:rPr>
          <w:lang w:val="en-US"/>
        </w:rPr>
        <w:t>Power</w:t>
      </w:r>
      <w:r>
        <w:rPr>
          <w:lang w:val="en-US"/>
        </w:rPr>
        <w:t xml:space="preserve"> c</w:t>
      </w:r>
      <w:r w:rsidRPr="00AD05EA">
        <w:rPr>
          <w:lang w:val="en-US"/>
        </w:rPr>
        <w:t>lass</w:t>
      </w:r>
    </w:p>
    <w:p w14:paraId="564B60E1" w14:textId="77777777" w:rsidR="00EA0C88" w:rsidRPr="00EA0C88" w:rsidRDefault="00EA0C88" w:rsidP="00EA0C88">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73F71390" w14:textId="77777777" w:rsidR="00EA0C88" w:rsidRPr="00EA0C88" w:rsidRDefault="00EA0C88" w:rsidP="00EA0C88">
      <w:pPr>
        <w:pStyle w:val="maintext"/>
        <w:numPr>
          <w:ilvl w:val="0"/>
          <w:numId w:val="47"/>
        </w:numPr>
        <w:ind w:firstLineChars="0"/>
      </w:pPr>
      <w:r w:rsidRPr="00AD05EA">
        <w:rPr>
          <w:lang w:val="en-US"/>
        </w:rPr>
        <w:t>MPR/A-MPR</w:t>
      </w:r>
    </w:p>
    <w:p w14:paraId="1BF205CD" w14:textId="77777777" w:rsidR="00EA0C88" w:rsidRPr="00EA0C88" w:rsidRDefault="00EA0C88" w:rsidP="00EA0C88">
      <w:pPr>
        <w:pStyle w:val="maintext"/>
        <w:numPr>
          <w:ilvl w:val="0"/>
          <w:numId w:val="47"/>
        </w:numPr>
        <w:ind w:firstLineChars="0"/>
      </w:pPr>
      <w:r w:rsidRPr="00AD05EA">
        <w:rPr>
          <w:lang w:val="en-US"/>
        </w:rPr>
        <w:t>PHR</w:t>
      </w:r>
    </w:p>
    <w:p w14:paraId="1588E617" w14:textId="77777777" w:rsidR="00EA0C88" w:rsidRPr="00EA0C88" w:rsidRDefault="00EA0C88" w:rsidP="00EA0C88">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56892921" w14:textId="54F3A147" w:rsidR="00EA0C88" w:rsidRDefault="00EA0C88" w:rsidP="00EA0C88">
      <w:pPr>
        <w:pStyle w:val="maintext"/>
        <w:numPr>
          <w:ilvl w:val="0"/>
          <w:numId w:val="47"/>
        </w:numPr>
        <w:ind w:firstLineChars="0"/>
      </w:pPr>
      <w:r w:rsidRPr="00AD05EA">
        <w:rPr>
          <w:lang w:val="en-US"/>
        </w:rPr>
        <w:t>SUL and SRS related</w:t>
      </w:r>
      <w:r w:rsidR="00D967E1">
        <w:rPr>
          <w:lang w:val="en-US"/>
        </w:rPr>
        <w:t xml:space="preserve"> aspects</w:t>
      </w:r>
    </w:p>
    <w:p w14:paraId="6560E029" w14:textId="217F0247" w:rsidR="0076767D" w:rsidRDefault="0076767D" w:rsidP="0076767D">
      <w:pPr>
        <w:pStyle w:val="maintext"/>
        <w:ind w:firstLine="440"/>
      </w:pPr>
    </w:p>
    <w:p w14:paraId="51D8859A" w14:textId="60F730FD" w:rsidR="00D967E1" w:rsidRDefault="00D967E1" w:rsidP="00D967E1">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21942A5F" w14:textId="77777777" w:rsidR="00197527" w:rsidRPr="00197527" w:rsidRDefault="00197527" w:rsidP="00197527">
      <w:pPr>
        <w:pStyle w:val="maintext"/>
        <w:numPr>
          <w:ilvl w:val="0"/>
          <w:numId w:val="47"/>
        </w:numPr>
        <w:ind w:firstLineChars="0"/>
        <w:rPr>
          <w:b/>
          <w:bCs/>
        </w:rPr>
      </w:pPr>
      <w:r w:rsidRPr="00197527">
        <w:rPr>
          <w:b/>
          <w:bCs/>
          <w:lang w:val="en-US"/>
        </w:rPr>
        <w:t>Power class</w:t>
      </w:r>
    </w:p>
    <w:p w14:paraId="4C2A51E8"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E95117E" w14:textId="77777777" w:rsidR="00197527" w:rsidRPr="00197527" w:rsidRDefault="00197527" w:rsidP="00197527">
      <w:pPr>
        <w:pStyle w:val="maintext"/>
        <w:numPr>
          <w:ilvl w:val="0"/>
          <w:numId w:val="47"/>
        </w:numPr>
        <w:ind w:firstLineChars="0"/>
        <w:rPr>
          <w:b/>
          <w:bCs/>
        </w:rPr>
      </w:pPr>
      <w:r w:rsidRPr="00197527">
        <w:rPr>
          <w:b/>
          <w:bCs/>
          <w:lang w:val="en-US"/>
        </w:rPr>
        <w:t>MPR/A-MPR</w:t>
      </w:r>
    </w:p>
    <w:p w14:paraId="07CCCAF2" w14:textId="77777777" w:rsidR="00197527" w:rsidRPr="00197527" w:rsidRDefault="00197527" w:rsidP="00197527">
      <w:pPr>
        <w:pStyle w:val="maintext"/>
        <w:numPr>
          <w:ilvl w:val="0"/>
          <w:numId w:val="47"/>
        </w:numPr>
        <w:ind w:firstLineChars="0"/>
        <w:rPr>
          <w:b/>
          <w:bCs/>
        </w:rPr>
      </w:pPr>
      <w:r w:rsidRPr="00197527">
        <w:rPr>
          <w:b/>
          <w:bCs/>
          <w:lang w:val="en-US"/>
        </w:rPr>
        <w:t>PHR</w:t>
      </w:r>
    </w:p>
    <w:p w14:paraId="569253EB"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6AA4C71" w14:textId="77777777" w:rsidR="00197527" w:rsidRPr="00197527" w:rsidRDefault="00197527" w:rsidP="00197527">
      <w:pPr>
        <w:pStyle w:val="maintext"/>
        <w:numPr>
          <w:ilvl w:val="0"/>
          <w:numId w:val="47"/>
        </w:numPr>
        <w:ind w:firstLineChars="0"/>
        <w:rPr>
          <w:b/>
          <w:bCs/>
        </w:rPr>
      </w:pPr>
      <w:r w:rsidRPr="00197527">
        <w:rPr>
          <w:b/>
          <w:bCs/>
          <w:lang w:val="en-US"/>
        </w:rPr>
        <w:t>SUL and SRS related aspects</w:t>
      </w:r>
    </w:p>
    <w:p w14:paraId="2D64A573" w14:textId="77777777" w:rsidR="00D967E1" w:rsidRPr="0076767D" w:rsidRDefault="00D967E1" w:rsidP="0076767D">
      <w:pPr>
        <w:pStyle w:val="maintext"/>
        <w:ind w:firstLine="440"/>
      </w:pPr>
    </w:p>
    <w:p w14:paraId="2A718A87" w14:textId="4A899E97" w:rsidR="006E0BD6" w:rsidRDefault="00C668F1" w:rsidP="0076767D">
      <w:pPr>
        <w:pStyle w:val="maintext"/>
        <w:ind w:firstLine="440"/>
      </w:pPr>
      <w:r>
        <w:rPr>
          <w:rFonts w:hint="eastAsia"/>
        </w:rPr>
        <w:t>I</w:t>
      </w:r>
      <w:r>
        <w:t>t seems that Rel-17 NR repeater has various types of manufacturer declaration on the output power. For instance,</w:t>
      </w:r>
      <w:r w:rsidR="001549A6">
        <w:t xml:space="preserve"> </w:t>
      </w:r>
      <w:r w:rsidR="001549A6">
        <w:fldChar w:fldCharType="begin"/>
      </w:r>
      <w:r w:rsidR="001549A6">
        <w:instrText xml:space="preserve"> REF _Ref131678515 \h </w:instrText>
      </w:r>
      <w:r w:rsidR="001549A6">
        <w:fldChar w:fldCharType="separate"/>
      </w:r>
      <w:r w:rsidR="0060477C">
        <w:t xml:space="preserve">Table </w:t>
      </w:r>
      <w:r w:rsidR="0060477C">
        <w:rPr>
          <w:noProof/>
        </w:rPr>
        <w:t>3</w:t>
      </w:r>
      <w:r w:rsidR="001549A6">
        <w:fldChar w:fldCharType="end"/>
      </w:r>
      <w:r w:rsidR="001549A6">
        <w:t xml:space="preserve"> shows three examples of m</w:t>
      </w:r>
      <w:r w:rsidR="001549A6" w:rsidRPr="001549A6">
        <w:t>anufacturer declarations on rated output power o</w:t>
      </w:r>
      <w:r w:rsidR="00D967E1">
        <w:t>n</w:t>
      </w:r>
      <w:r w:rsidR="001549A6" w:rsidRPr="001549A6">
        <w:t xml:space="preserve"> Rel-17 NR repeater</w:t>
      </w:r>
      <w:r>
        <w:t xml:space="preserve"> from </w:t>
      </w:r>
      <w:r w:rsidR="001549A6">
        <w:t xml:space="preserve">conducted conformance testing perspective. </w:t>
      </w:r>
      <w:r w:rsidR="007825DB">
        <w:fldChar w:fldCharType="begin"/>
      </w:r>
      <w:r w:rsidR="007825DB">
        <w:instrText xml:space="preserve"> REF _Ref131679026 \h </w:instrText>
      </w:r>
      <w:r w:rsidR="007825DB">
        <w:fldChar w:fldCharType="separate"/>
      </w:r>
      <w:r w:rsidR="0060477C">
        <w:t xml:space="preserve">Table </w:t>
      </w:r>
      <w:r w:rsidR="0060477C">
        <w:rPr>
          <w:noProof/>
        </w:rPr>
        <w:t>4</w:t>
      </w:r>
      <w:r w:rsidR="007825DB">
        <w:fldChar w:fldCharType="end"/>
      </w:r>
      <w:r w:rsidR="007825DB">
        <w:t xml:space="preserve"> captures another example</w:t>
      </w:r>
      <w:r w:rsidR="00D967E1">
        <w:t xml:space="preserve"> of m</w:t>
      </w:r>
      <w:r w:rsidR="00D967E1" w:rsidRPr="001549A6">
        <w:t xml:space="preserve">anufacturer </w:t>
      </w:r>
      <w:proofErr w:type="gramStart"/>
      <w:r w:rsidR="00D967E1" w:rsidRPr="001549A6">
        <w:t>declarations</w:t>
      </w:r>
      <w:proofErr w:type="gramEnd"/>
      <w:r w:rsidR="007825DB">
        <w:t xml:space="preserve"> on rated (beam) EIRP </w:t>
      </w:r>
      <w:r w:rsidR="00D967E1" w:rsidRPr="001549A6">
        <w:t>o</w:t>
      </w:r>
      <w:r w:rsidR="00D967E1">
        <w:t>n</w:t>
      </w:r>
      <w:r w:rsidR="00D967E1" w:rsidRPr="001549A6">
        <w:t xml:space="preserve"> Rel-17 NR repeater</w:t>
      </w:r>
      <w:r w:rsidR="00D967E1">
        <w:t xml:space="preserve"> from r</w:t>
      </w:r>
      <w:r w:rsidR="00D967E1" w:rsidRPr="00D967E1">
        <w:t>adiated</w:t>
      </w:r>
      <w:r w:rsidR="00D967E1">
        <w:t xml:space="preserve"> conformance testing perspective.</w:t>
      </w:r>
    </w:p>
    <w:p w14:paraId="3FDDE1AF" w14:textId="734A4640" w:rsidR="00C668F1" w:rsidRDefault="00C668F1" w:rsidP="00C668F1">
      <w:pPr>
        <w:pStyle w:val="a8"/>
        <w:keepNext/>
        <w:spacing w:after="120"/>
      </w:pPr>
      <w:bookmarkStart w:id="7" w:name="_Ref131678515"/>
      <w:r>
        <w:t xml:space="preserve">Table </w:t>
      </w:r>
      <w:fldSimple w:instr=" SEQ Table \* ARABIC ">
        <w:r w:rsidR="00410128">
          <w:rPr>
            <w:noProof/>
          </w:rPr>
          <w:t>4</w:t>
        </w:r>
      </w:fldSimple>
      <w:bookmarkEnd w:id="7"/>
      <w:r>
        <w:t xml:space="preserve">. </w:t>
      </w:r>
      <w:r w:rsidR="001549A6">
        <w:t>Manufacturer declarations on rated output power o</w:t>
      </w:r>
      <w:r w:rsidR="007825DB">
        <w:t>n</w:t>
      </w:r>
      <w:r w:rsidR="001549A6">
        <w:t xml:space="preserve"> Rel-17 NR repeater </w:t>
      </w:r>
      <w:r w:rsidR="008531FD">
        <w:fldChar w:fldCharType="begin"/>
      </w:r>
      <w:r w:rsidR="008531FD">
        <w:instrText xml:space="preserve"> REF _Ref131678633 \r \h </w:instrText>
      </w:r>
      <w:r w:rsidR="008531FD">
        <w:fldChar w:fldCharType="separate"/>
      </w:r>
      <w:r w:rsidR="0060477C">
        <w:t>[4]</w:t>
      </w:r>
      <w:r w:rsidR="008531FD">
        <w:fldChar w:fldCharType="end"/>
      </w:r>
      <w:r w:rsidR="001549A6">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34"/>
        <w:gridCol w:w="2410"/>
        <w:gridCol w:w="6238"/>
      </w:tblGrid>
      <w:tr w:rsidR="00C668F1" w:rsidRPr="00C668F1" w14:paraId="04567D7F"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1301AC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D.9</w:t>
            </w:r>
          </w:p>
        </w:tc>
        <w:tc>
          <w:tcPr>
            <w:tcW w:w="2410" w:type="dxa"/>
            <w:tcBorders>
              <w:top w:val="single" w:sz="4" w:space="0" w:color="auto"/>
              <w:left w:val="single" w:sz="4" w:space="0" w:color="auto"/>
              <w:bottom w:val="single" w:sz="4" w:space="0" w:color="auto"/>
              <w:right w:val="single" w:sz="4" w:space="0" w:color="auto"/>
            </w:tcBorders>
            <w:hideMark/>
          </w:tcPr>
          <w:p w14:paraId="4D80BC0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Rated output power</w:t>
            </w:r>
            <w:r w:rsidRPr="00C668F1">
              <w:rPr>
                <w:rFonts w:ascii="Arial" w:eastAsia="DengXian" w:hAnsi="Arial"/>
                <w:i/>
                <w:kern w:val="0"/>
                <w:sz w:val="18"/>
                <w:szCs w:val="20"/>
                <w:lang w:val="en-GB" w:eastAsia="en-US"/>
              </w:rPr>
              <w:t xml:space="preserve"> </w:t>
            </w:r>
            <w:r w:rsidRPr="00C668F1">
              <w:rPr>
                <w:rFonts w:ascii="Arial" w:eastAsia="DengXian" w:hAnsi="Arial"/>
                <w:iCs/>
                <w:kern w:val="0"/>
                <w:sz w:val="18"/>
                <w:szCs w:val="20"/>
                <w:lang w:val="en-GB" w:eastAsia="en-US"/>
              </w:rPr>
              <w:t xml:space="preserve">per passband </w:t>
            </w:r>
            <w:r w:rsidRPr="00C668F1">
              <w:rPr>
                <w:rFonts w:ascii="Arial" w:eastAsia="DengXian" w:hAnsi="Arial"/>
                <w:kern w:val="0"/>
                <w:sz w:val="18"/>
                <w:szCs w:val="20"/>
                <w:lang w:val="en-GB"/>
              </w:rPr>
              <w:t>(</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w:t>
            </w:r>
            <w:r w:rsidRPr="00C668F1">
              <w:rPr>
                <w:rFonts w:ascii="Arial" w:eastAsia="DengXian" w:hAnsi="Arial"/>
                <w:kern w:val="0"/>
                <w:sz w:val="18"/>
                <w:szCs w:val="20"/>
                <w:vertAlign w:val="subscript"/>
                <w:lang w:val="en-GB" w:eastAsia="zh-CN"/>
              </w:rPr>
              <w:t>p</w:t>
            </w:r>
            <w:proofErr w:type="gramEnd"/>
            <w:r w:rsidRPr="00C668F1">
              <w:rPr>
                <w:rFonts w:ascii="Arial" w:eastAsia="DengXian" w:hAnsi="Arial"/>
                <w:kern w:val="0"/>
                <w:sz w:val="18"/>
                <w:szCs w:val="20"/>
                <w:vertAlign w:val="subscript"/>
                <w:lang w:val="en-GB" w:eastAsia="en-US"/>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5EB95F88"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Conducted rated output power per passband, per </w:t>
            </w:r>
            <w:r w:rsidRPr="00C668F1">
              <w:rPr>
                <w:rFonts w:ascii="Arial" w:eastAsia="DengXian" w:hAnsi="Arial"/>
                <w:i/>
                <w:kern w:val="0"/>
                <w:sz w:val="18"/>
                <w:szCs w:val="20"/>
                <w:lang w:val="en-GB" w:eastAsia="en-US"/>
              </w:rPr>
              <w:t xml:space="preserve">single band connector </w:t>
            </w:r>
            <w:r w:rsidRPr="00C668F1">
              <w:rPr>
                <w:rFonts w:ascii="Arial" w:eastAsia="DengXian" w:hAnsi="Arial"/>
                <w:kern w:val="0"/>
                <w:sz w:val="18"/>
                <w:szCs w:val="20"/>
                <w:lang w:val="en-GB" w:eastAsia="en-US"/>
              </w:rPr>
              <w:t>or</w:t>
            </w:r>
            <w:r w:rsidRPr="00C668F1">
              <w:rPr>
                <w:rFonts w:ascii="Arial" w:eastAsia="DengXian" w:hAnsi="Arial"/>
                <w:i/>
                <w:kern w:val="0"/>
                <w:sz w:val="18"/>
                <w:szCs w:val="20"/>
                <w:lang w:val="en-GB" w:eastAsia="en-US"/>
              </w:rPr>
              <w:t xml:space="preserve"> multi-band connector.</w:t>
            </w:r>
          </w:p>
          <w:p w14:paraId="0892D733"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passband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r w:rsidRPr="00C668F1">
              <w:rPr>
                <w:rFonts w:ascii="Arial" w:eastAsia="DengXian" w:hAnsi="Arial"/>
                <w:kern w:val="0"/>
                <w:sz w:val="18"/>
                <w:szCs w:val="20"/>
                <w:lang w:val="en-GB" w:eastAsia="en-US"/>
              </w:rPr>
              <w:t xml:space="preserve"> (Note 1)</w:t>
            </w:r>
          </w:p>
        </w:tc>
      </w:tr>
      <w:tr w:rsidR="00C668F1" w:rsidRPr="00C668F1" w14:paraId="309328F8"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192CEF"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D.10</w:t>
            </w:r>
          </w:p>
        </w:tc>
        <w:tc>
          <w:tcPr>
            <w:tcW w:w="2410" w:type="dxa"/>
            <w:tcBorders>
              <w:top w:val="single" w:sz="4" w:space="0" w:color="auto"/>
              <w:left w:val="single" w:sz="4" w:space="0" w:color="auto"/>
              <w:bottom w:val="single" w:sz="4" w:space="0" w:color="auto"/>
              <w:right w:val="single" w:sz="4" w:space="0" w:color="auto"/>
            </w:tcBorders>
            <w:hideMark/>
          </w:tcPr>
          <w:p w14:paraId="31DD7E5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w:t>
            </w:r>
            <w:r w:rsidRPr="00C668F1">
              <w:rPr>
                <w:rFonts w:ascii="Arial" w:eastAsia="DengXian" w:hAnsi="Arial"/>
                <w:i/>
                <w:kern w:val="0"/>
                <w:sz w:val="18"/>
                <w:szCs w:val="20"/>
                <w:lang w:val="en-GB" w:eastAsia="en-US"/>
              </w:rPr>
              <w:t xml:space="preserve">ated total output power </w:t>
            </w:r>
            <w:r w:rsidRPr="00C668F1">
              <w:rPr>
                <w:rFonts w:ascii="Arial" w:eastAsia="DengXian" w:hAnsi="Arial"/>
                <w:kern w:val="0"/>
                <w:sz w:val="18"/>
                <w:szCs w:val="20"/>
                <w:lang w:val="en-GB" w:eastAsia="en-US"/>
              </w:rPr>
              <w:t>(</w:t>
            </w:r>
            <w:proofErr w:type="spellStart"/>
            <w:proofErr w:type="gramStart"/>
            <w:r w:rsidRPr="00C668F1">
              <w:rPr>
                <w:rFonts w:ascii="Arial" w:eastAsia="DengXian" w:hAnsi="Arial"/>
                <w:kern w:val="0"/>
                <w:sz w:val="18"/>
                <w:szCs w:val="20"/>
                <w:lang w:val="en-GB" w:eastAsia="zh-CN"/>
              </w:rPr>
              <w:t>P</w:t>
            </w:r>
            <w:r w:rsidRPr="00C668F1">
              <w:rPr>
                <w:rFonts w:ascii="Arial" w:eastAsia="DengXian" w:hAnsi="Arial"/>
                <w:kern w:val="0"/>
                <w:sz w:val="18"/>
                <w:szCs w:val="20"/>
                <w:vertAlign w:val="subscript"/>
                <w:lang w:val="en-GB" w:eastAsia="zh-CN"/>
              </w:rPr>
              <w:t>rated,t</w:t>
            </w:r>
            <w:proofErr w:type="gramEnd"/>
            <w:r w:rsidRPr="00C668F1">
              <w:rPr>
                <w:rFonts w:ascii="Arial" w:eastAsia="DengXian" w:hAnsi="Arial"/>
                <w:kern w:val="0"/>
                <w:sz w:val="18"/>
                <w:szCs w:val="20"/>
                <w:vertAlign w:val="subscript"/>
                <w:lang w:val="en-GB" w:eastAsia="zh-CN"/>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19451F02"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total rated output power</w:t>
            </w:r>
            <w:r w:rsidRPr="00C668F1">
              <w:rPr>
                <w:rFonts w:ascii="Arial" w:eastAsia="DengXian" w:hAnsi="Arial"/>
                <w:i/>
                <w:kern w:val="0"/>
                <w:sz w:val="18"/>
                <w:szCs w:val="20"/>
                <w:lang w:val="en-GB" w:eastAsia="en-US"/>
              </w:rPr>
              <w:t>.</w:t>
            </w:r>
          </w:p>
          <w:p w14:paraId="0BC3612D" w14:textId="77777777" w:rsidR="00C668F1" w:rsidRPr="00C668F1" w:rsidRDefault="00C668F1" w:rsidP="00C668F1">
            <w:pPr>
              <w:keepNext/>
              <w:keepLines/>
              <w:widowControl/>
              <w:wordWrap/>
              <w:autoSpaceDE/>
              <w:autoSpaceDN/>
              <w:spacing w:afterLines="0" w:after="0"/>
              <w:jc w:val="left"/>
              <w:rPr>
                <w:rFonts w:ascii="Arial" w:eastAsia="DengXian" w:hAnsi="Arial"/>
                <w:i/>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p>
          <w:p w14:paraId="6173BFD5"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For </w:t>
            </w:r>
            <w:r w:rsidRPr="00C668F1">
              <w:rPr>
                <w:rFonts w:ascii="Arial" w:eastAsia="DengXian" w:hAnsi="Arial"/>
                <w:i/>
                <w:kern w:val="0"/>
                <w:sz w:val="18"/>
                <w:szCs w:val="20"/>
                <w:lang w:val="en-GB" w:eastAsia="en-US"/>
              </w:rPr>
              <w:t xml:space="preserve">multi-band connectors </w:t>
            </w:r>
            <w:r w:rsidRPr="00C668F1">
              <w:rPr>
                <w:rFonts w:ascii="Arial" w:eastAsia="DengXian" w:hAnsi="Arial"/>
                <w:kern w:val="0"/>
                <w:sz w:val="18"/>
                <w:szCs w:val="20"/>
                <w:lang w:val="en-GB" w:eastAsia="en-US"/>
              </w:rPr>
              <w:t xml:space="preserve">declared for each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in each supported band combination. (Note 1)</w:t>
            </w:r>
          </w:p>
        </w:tc>
      </w:tr>
      <w:tr w:rsidR="00C668F1" w:rsidRPr="00C668F1" w14:paraId="492FEDEA"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8977CB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D.11</w:t>
            </w:r>
          </w:p>
        </w:tc>
        <w:tc>
          <w:tcPr>
            <w:tcW w:w="2410" w:type="dxa"/>
            <w:tcBorders>
              <w:top w:val="single" w:sz="4" w:space="0" w:color="auto"/>
              <w:left w:val="single" w:sz="4" w:space="0" w:color="auto"/>
              <w:bottom w:val="single" w:sz="4" w:space="0" w:color="auto"/>
              <w:right w:val="single" w:sz="4" w:space="0" w:color="auto"/>
            </w:tcBorders>
            <w:hideMark/>
          </w:tcPr>
          <w:p w14:paraId="06989BC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Rated multi-band total output power, </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rated,MB</w:t>
            </w:r>
            <w:proofErr w:type="gramEnd"/>
            <w:r w:rsidRPr="00C668F1">
              <w:rPr>
                <w:rFonts w:ascii="Arial" w:eastAsia="DengXian" w:hAnsi="Arial"/>
                <w:kern w:val="0"/>
                <w:sz w:val="18"/>
                <w:szCs w:val="20"/>
                <w:vertAlign w:val="subscript"/>
                <w:lang w:val="en-GB" w:eastAsia="en-US"/>
              </w:rPr>
              <w:t>,TABC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279BE6B9"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multi-band rated total output power</w:t>
            </w:r>
            <w:r w:rsidRPr="00C668F1">
              <w:rPr>
                <w:rFonts w:ascii="Arial" w:eastAsia="DengXian" w:hAnsi="Arial"/>
                <w:i/>
                <w:kern w:val="0"/>
                <w:sz w:val="18"/>
                <w:szCs w:val="20"/>
                <w:lang w:val="en-GB" w:eastAsia="en-US"/>
              </w:rPr>
              <w:t>.</w:t>
            </w:r>
          </w:p>
          <w:p w14:paraId="22EF161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operating band combinations, per </w:t>
            </w:r>
            <w:r w:rsidRPr="00C668F1">
              <w:rPr>
                <w:rFonts w:ascii="Arial" w:eastAsia="DengXian" w:hAnsi="Arial"/>
                <w:i/>
                <w:kern w:val="0"/>
                <w:sz w:val="18"/>
                <w:szCs w:val="20"/>
                <w:lang w:val="en-GB" w:eastAsia="en-US"/>
              </w:rPr>
              <w:t>multi-band connector</w:t>
            </w:r>
            <w:r w:rsidRPr="00C668F1">
              <w:rPr>
                <w:rFonts w:ascii="Arial" w:eastAsia="DengXian" w:hAnsi="Arial"/>
                <w:kern w:val="0"/>
                <w:sz w:val="18"/>
                <w:szCs w:val="20"/>
                <w:lang w:val="en-GB" w:eastAsia="en-US"/>
              </w:rPr>
              <w:t>. (Note 1)</w:t>
            </w:r>
          </w:p>
        </w:tc>
      </w:tr>
    </w:tbl>
    <w:p w14:paraId="7AFA6D98" w14:textId="744B655D" w:rsidR="007825DB" w:rsidRDefault="007825DB" w:rsidP="0076767D">
      <w:pPr>
        <w:pStyle w:val="maintext"/>
        <w:ind w:firstLine="440"/>
      </w:pPr>
    </w:p>
    <w:p w14:paraId="1A528286" w14:textId="79E0D092" w:rsidR="007825DB" w:rsidRDefault="007825DB" w:rsidP="007825DB">
      <w:pPr>
        <w:pStyle w:val="a8"/>
        <w:keepNext/>
        <w:spacing w:after="120"/>
      </w:pPr>
      <w:bookmarkStart w:id="8" w:name="_Ref131679026"/>
      <w:r>
        <w:lastRenderedPageBreak/>
        <w:t xml:space="preserve">Table </w:t>
      </w:r>
      <w:fldSimple w:instr=" SEQ Table \* ARABIC ">
        <w:r w:rsidR="00410128">
          <w:rPr>
            <w:noProof/>
          </w:rPr>
          <w:t>5</w:t>
        </w:r>
      </w:fldSimple>
      <w:bookmarkEnd w:id="8"/>
      <w:r>
        <w:t xml:space="preserve">. Manufacturer declarations on rated EIRP on Rel-17 NR repeater </w:t>
      </w:r>
      <w:r>
        <w:fldChar w:fldCharType="begin"/>
      </w:r>
      <w:r>
        <w:instrText xml:space="preserve"> REF _Ref131679009 \r \h </w:instrText>
      </w:r>
      <w:r>
        <w:fldChar w:fldCharType="separate"/>
      </w:r>
      <w:r w:rsidR="0060477C">
        <w:t>[5]</w:t>
      </w:r>
      <w:r>
        <w:fldChar w:fldCharType="end"/>
      </w:r>
      <w:r>
        <w:t>.</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09"/>
        <w:gridCol w:w="6236"/>
      </w:tblGrid>
      <w:tr w:rsidR="007825DB" w:rsidRPr="007825DB" w14:paraId="2EFE0803"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tcPr>
          <w:p w14:paraId="7033BB50"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18"/>
                <w:lang w:val="en-GB" w:eastAsia="ja-JP"/>
              </w:rPr>
            </w:pPr>
            <w:r w:rsidRPr="007825DB">
              <w:rPr>
                <w:rFonts w:ascii="Arial" w:eastAsia="DengXian" w:hAnsi="Arial" w:cs="Arial"/>
                <w:color w:val="000000"/>
                <w:kern w:val="0"/>
                <w:sz w:val="18"/>
                <w:szCs w:val="20"/>
                <w:lang w:val="en-GB" w:eastAsia="ja-JP"/>
              </w:rPr>
              <w:t>D.9</w:t>
            </w:r>
          </w:p>
        </w:tc>
        <w:tc>
          <w:tcPr>
            <w:tcW w:w="2409" w:type="dxa"/>
            <w:tcBorders>
              <w:top w:val="single" w:sz="4" w:space="0" w:color="auto"/>
              <w:left w:val="single" w:sz="4" w:space="0" w:color="auto"/>
              <w:bottom w:val="single" w:sz="4" w:space="0" w:color="auto"/>
              <w:right w:val="single" w:sz="4" w:space="0" w:color="auto"/>
            </w:tcBorders>
          </w:tcPr>
          <w:p w14:paraId="0BA5F064" w14:textId="77777777" w:rsidR="007825DB" w:rsidRPr="007825DB" w:rsidRDefault="007825DB" w:rsidP="007825DB">
            <w:pPr>
              <w:keepNext/>
              <w:keepLines/>
              <w:widowControl/>
              <w:wordWrap/>
              <w:autoSpaceDE/>
              <w:autoSpaceDN/>
              <w:spacing w:afterLines="0" w:after="0" w:line="259" w:lineRule="auto"/>
              <w:rPr>
                <w:rFonts w:ascii="Arial" w:eastAsia="DengXian" w:hAnsi="Arial"/>
                <w:color w:val="000000"/>
                <w:kern w:val="0"/>
                <w:sz w:val="18"/>
                <w:szCs w:val="20"/>
                <w:lang w:val="en-GB" w:eastAsia="ja-JP"/>
              </w:rPr>
            </w:pPr>
            <w:r w:rsidRPr="007825DB">
              <w:rPr>
                <w:rFonts w:ascii="Arial" w:eastAsia="DengXian" w:hAnsi="Arial" w:cs="Arial"/>
                <w:color w:val="000000"/>
                <w:kern w:val="0"/>
                <w:sz w:val="18"/>
                <w:szCs w:val="20"/>
                <w:lang w:val="en-GB" w:eastAsia="ja-JP"/>
              </w:rPr>
              <w:t>Rated beam EIRP</w:t>
            </w:r>
          </w:p>
        </w:tc>
        <w:tc>
          <w:tcPr>
            <w:tcW w:w="6236" w:type="dxa"/>
            <w:tcBorders>
              <w:top w:val="single" w:sz="4" w:space="0" w:color="auto"/>
              <w:left w:val="single" w:sz="4" w:space="0" w:color="auto"/>
              <w:bottom w:val="single" w:sz="4" w:space="0" w:color="auto"/>
              <w:right w:val="single" w:sz="4" w:space="0" w:color="auto"/>
            </w:tcBorders>
          </w:tcPr>
          <w:p w14:paraId="7803D769"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The rated EIRP level per passband (</w:t>
            </w:r>
            <w:proofErr w:type="spellStart"/>
            <w:proofErr w:type="gramStart"/>
            <w:r w:rsidRPr="007825DB">
              <w:rPr>
                <w:rFonts w:ascii="Arial" w:eastAsia="DengXian" w:hAnsi="Arial" w:cs="Arial"/>
                <w:color w:val="000000"/>
                <w:kern w:val="0"/>
                <w:sz w:val="18"/>
                <w:szCs w:val="20"/>
                <w:lang w:val="en-GB" w:eastAsia="ja-JP"/>
              </w:rPr>
              <w:t>P</w:t>
            </w:r>
            <w:r w:rsidRPr="007825DB">
              <w:rPr>
                <w:rFonts w:ascii="Arial" w:eastAsia="DengXian" w:hAnsi="Arial" w:cs="Arial"/>
                <w:color w:val="000000"/>
                <w:kern w:val="0"/>
                <w:sz w:val="18"/>
                <w:szCs w:val="20"/>
                <w:vertAlign w:val="subscript"/>
                <w:lang w:val="en-GB" w:eastAsia="ja-JP"/>
              </w:rPr>
              <w:t>rated,p</w:t>
            </w:r>
            <w:proofErr w:type="gramEnd"/>
            <w:r w:rsidRPr="007825DB">
              <w:rPr>
                <w:rFonts w:ascii="Arial" w:eastAsia="DengXian" w:hAnsi="Arial" w:cs="Arial"/>
                <w:color w:val="000000"/>
                <w:kern w:val="0"/>
                <w:sz w:val="18"/>
                <w:szCs w:val="20"/>
                <w:vertAlign w:val="subscript"/>
                <w:lang w:val="en-GB" w:eastAsia="ja-JP"/>
              </w:rPr>
              <w:t>,EIRP</w:t>
            </w:r>
            <w:proofErr w:type="spellEnd"/>
            <w:r w:rsidRPr="007825DB">
              <w:rPr>
                <w:rFonts w:ascii="Arial" w:eastAsia="DengXian" w:hAnsi="Arial" w:cs="Arial"/>
                <w:color w:val="000000"/>
                <w:kern w:val="0"/>
                <w:sz w:val="18"/>
                <w:szCs w:val="20"/>
                <w:lang w:val="en-GB" w:eastAsia="ja-JP"/>
              </w:rPr>
              <w:t xml:space="preserve">) at the </w:t>
            </w:r>
            <w:r w:rsidRPr="007825DB">
              <w:rPr>
                <w:rFonts w:ascii="Arial" w:eastAsia="DengXian" w:hAnsi="Arial" w:cs="Arial"/>
                <w:i/>
                <w:color w:val="000000"/>
                <w:kern w:val="0"/>
                <w:sz w:val="18"/>
                <w:szCs w:val="20"/>
                <w:lang w:val="en-GB" w:eastAsia="ja-JP"/>
              </w:rPr>
              <w:t>beam peak direction</w:t>
            </w:r>
            <w:r w:rsidRPr="007825DB">
              <w:rPr>
                <w:rFonts w:ascii="Arial" w:eastAsia="DengXian" w:hAnsi="Arial" w:cs="Arial"/>
                <w:color w:val="000000"/>
                <w:kern w:val="0"/>
                <w:sz w:val="18"/>
                <w:szCs w:val="20"/>
                <w:lang w:val="en-GB" w:eastAsia="ja-JP"/>
              </w:rPr>
              <w:t xml:space="preserve"> associated with a particular</w:t>
            </w:r>
            <w:r w:rsidRPr="007825DB">
              <w:rPr>
                <w:rFonts w:ascii="Arial" w:eastAsia="DengXian" w:hAnsi="Arial" w:cs="Arial"/>
                <w:i/>
                <w:color w:val="000000"/>
                <w:kern w:val="0"/>
                <w:sz w:val="18"/>
                <w:szCs w:val="20"/>
                <w:lang w:val="en-GB" w:eastAsia="ja-JP"/>
              </w:rPr>
              <w:t xml:space="preserve"> beam direction pair</w:t>
            </w:r>
            <w:r w:rsidRPr="007825DB">
              <w:rPr>
                <w:rFonts w:ascii="Arial" w:eastAsia="DengXian" w:hAnsi="Arial" w:cs="Arial"/>
                <w:color w:val="000000"/>
                <w:kern w:val="0"/>
                <w:sz w:val="18"/>
                <w:szCs w:val="20"/>
                <w:lang w:val="en-GB" w:eastAsia="ja-JP"/>
              </w:rPr>
              <w:t xml:space="preserve"> for each of the declared maximum steering directions (D.8), as well as the reference </w:t>
            </w:r>
            <w:r w:rsidRPr="007825DB">
              <w:rPr>
                <w:rFonts w:ascii="Arial" w:eastAsia="DengXian" w:hAnsi="Arial" w:cs="Arial"/>
                <w:i/>
                <w:color w:val="000000"/>
                <w:kern w:val="0"/>
                <w:sz w:val="18"/>
                <w:szCs w:val="20"/>
                <w:lang w:val="en-GB" w:eastAsia="ja-JP"/>
              </w:rPr>
              <w:t>beam direction pair</w:t>
            </w:r>
            <w:r w:rsidRPr="007825DB">
              <w:rPr>
                <w:rFonts w:ascii="Arial" w:eastAsia="DengXian" w:hAnsi="Arial" w:cs="Arial"/>
                <w:color w:val="000000"/>
                <w:kern w:val="0"/>
                <w:sz w:val="18"/>
                <w:szCs w:val="20"/>
                <w:lang w:val="en-GB" w:eastAsia="ja-JP"/>
              </w:rPr>
              <w:t xml:space="preserve"> (D.8). Declared for every beam (D.3).</w:t>
            </w:r>
          </w:p>
          <w:p w14:paraId="466BC1FE" w14:textId="77777777" w:rsidR="007825DB" w:rsidRPr="007825DB" w:rsidRDefault="007825DB" w:rsidP="007825DB">
            <w:pPr>
              <w:keepNext/>
              <w:keepLines/>
              <w:widowControl/>
              <w:wordWrap/>
              <w:autoSpaceDE/>
              <w:autoSpaceDN/>
              <w:spacing w:afterLines="0" w:after="0" w:line="259" w:lineRule="auto"/>
              <w:ind w:left="851" w:hanging="851"/>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(Note 5, 6, 7)</w:t>
            </w:r>
          </w:p>
        </w:tc>
      </w:tr>
    </w:tbl>
    <w:p w14:paraId="0B7C9873" w14:textId="45F12A66" w:rsidR="007825DB" w:rsidRDefault="007825DB" w:rsidP="0076767D">
      <w:pPr>
        <w:pStyle w:val="maintext"/>
        <w:ind w:firstLine="440"/>
      </w:pPr>
    </w:p>
    <w:p w14:paraId="4FF474DA" w14:textId="17198418" w:rsidR="007825DB" w:rsidRPr="0076767D" w:rsidRDefault="00D967E1" w:rsidP="0076767D">
      <w:pPr>
        <w:pStyle w:val="maintext"/>
        <w:ind w:firstLine="440"/>
      </w:pPr>
      <w:r>
        <w:rPr>
          <w:rFonts w:hint="eastAsia"/>
        </w:rPr>
        <w:t>A</w:t>
      </w:r>
      <w:r>
        <w:t xml:space="preserve">ssuming that one of the above rated output power or EIRP of NR repeater replaces the rated EIRP, </w:t>
      </w:r>
      <w:proofErr w:type="spellStart"/>
      <w:proofErr w:type="gramStart"/>
      <w:r w:rsidRPr="009F0F74">
        <w:rPr>
          <w:lang w:val="en-US"/>
        </w:rPr>
        <w:t>P</w:t>
      </w:r>
      <w:r w:rsidRPr="009F0F74">
        <w:rPr>
          <w:vertAlign w:val="subscript"/>
          <w:lang w:val="en-US"/>
        </w:rPr>
        <w:t>Rated,c</w:t>
      </w:r>
      <w:proofErr w:type="gramEnd"/>
      <w:r w:rsidRPr="009F0F74">
        <w:rPr>
          <w:vertAlign w:val="subscript"/>
          <w:lang w:val="en-US"/>
        </w:rPr>
        <w:t>,EIRP</w:t>
      </w:r>
      <w:proofErr w:type="spellEnd"/>
      <w:r>
        <w:t xml:space="preserve">, in </w:t>
      </w:r>
      <w:r>
        <w:fldChar w:fldCharType="begin"/>
      </w:r>
      <w:r>
        <w:instrText xml:space="preserve"> REF _Ref131672901 \h </w:instrText>
      </w:r>
      <w:r>
        <w:fldChar w:fldCharType="separate"/>
      </w:r>
      <w:r w:rsidR="0060477C">
        <w:t xml:space="preserve">Table </w:t>
      </w:r>
      <w:r w:rsidR="0060477C">
        <w:rPr>
          <w:noProof/>
        </w:rPr>
        <w:t>1</w:t>
      </w:r>
      <w:r>
        <w:fldChar w:fldCharType="end"/>
      </w:r>
      <w:r>
        <w:t>, the same observations with IAB-MT would be made for NCR-MT as well, since the declared values are not varied per specific operation mode/scenarios of NCR. In other words, t</w:t>
      </w:r>
      <w:r w:rsidRPr="00AD05EA">
        <w:t xml:space="preserve">he following </w:t>
      </w:r>
      <w:r>
        <w:t>aspects</w:t>
      </w:r>
      <w:r w:rsidRPr="00AD05EA">
        <w:t xml:space="preserve"> </w:t>
      </w:r>
      <w:r>
        <w:t>will</w:t>
      </w:r>
      <w:r w:rsidRPr="00AD05EA">
        <w:t xml:space="preserve"> not</w:t>
      </w:r>
      <w:r>
        <w:t xml:space="preserve"> be</w:t>
      </w:r>
      <w:r w:rsidRPr="00AD05EA">
        <w:t xml:space="preserve"> </w:t>
      </w:r>
      <w:r>
        <w:t>considered for NCR-MT configured output power calculation, if the same mechanism with IAB-MT is applied for NCR-MT:</w:t>
      </w:r>
    </w:p>
    <w:p w14:paraId="579A20FA" w14:textId="77777777" w:rsidR="00D967E1" w:rsidRPr="00EA0C88" w:rsidRDefault="00D967E1" w:rsidP="00D967E1">
      <w:pPr>
        <w:pStyle w:val="maintext"/>
        <w:numPr>
          <w:ilvl w:val="0"/>
          <w:numId w:val="47"/>
        </w:numPr>
        <w:ind w:firstLineChars="0"/>
      </w:pPr>
      <w:r w:rsidRPr="00AD05EA">
        <w:rPr>
          <w:lang w:val="en-US"/>
        </w:rPr>
        <w:t>Power</w:t>
      </w:r>
      <w:r>
        <w:rPr>
          <w:lang w:val="en-US"/>
        </w:rPr>
        <w:t xml:space="preserve"> c</w:t>
      </w:r>
      <w:r w:rsidRPr="00AD05EA">
        <w:rPr>
          <w:lang w:val="en-US"/>
        </w:rPr>
        <w:t>lass</w:t>
      </w:r>
    </w:p>
    <w:p w14:paraId="4EEFFCDF" w14:textId="77777777" w:rsidR="00D967E1" w:rsidRPr="00EA0C88" w:rsidRDefault="00D967E1" w:rsidP="00D967E1">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67C4DFFC" w14:textId="77777777" w:rsidR="00D967E1" w:rsidRPr="00EA0C88" w:rsidRDefault="00D967E1" w:rsidP="00D967E1">
      <w:pPr>
        <w:pStyle w:val="maintext"/>
        <w:numPr>
          <w:ilvl w:val="0"/>
          <w:numId w:val="47"/>
        </w:numPr>
        <w:ind w:firstLineChars="0"/>
      </w:pPr>
      <w:r w:rsidRPr="00AD05EA">
        <w:rPr>
          <w:lang w:val="en-US"/>
        </w:rPr>
        <w:t>MPR/A-MPR</w:t>
      </w:r>
    </w:p>
    <w:p w14:paraId="06D1B2BF" w14:textId="77777777" w:rsidR="00D967E1" w:rsidRPr="00EA0C88" w:rsidRDefault="00D967E1" w:rsidP="00D967E1">
      <w:pPr>
        <w:pStyle w:val="maintext"/>
        <w:numPr>
          <w:ilvl w:val="0"/>
          <w:numId w:val="47"/>
        </w:numPr>
        <w:ind w:firstLineChars="0"/>
      </w:pPr>
      <w:r w:rsidRPr="00AD05EA">
        <w:rPr>
          <w:lang w:val="en-US"/>
        </w:rPr>
        <w:t>PHR</w:t>
      </w:r>
    </w:p>
    <w:p w14:paraId="35C307F4" w14:textId="77777777" w:rsidR="00D967E1" w:rsidRPr="00EA0C88" w:rsidRDefault="00D967E1" w:rsidP="00D967E1">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1614E8D2" w14:textId="100ED38C" w:rsidR="00D967E1" w:rsidRPr="00D967E1" w:rsidRDefault="00D967E1" w:rsidP="00D967E1">
      <w:pPr>
        <w:pStyle w:val="maintext"/>
        <w:numPr>
          <w:ilvl w:val="0"/>
          <w:numId w:val="47"/>
        </w:numPr>
        <w:ind w:firstLineChars="0"/>
      </w:pPr>
      <w:r w:rsidRPr="00AD05EA">
        <w:rPr>
          <w:lang w:val="en-US"/>
        </w:rPr>
        <w:t>SUL and SRS related</w:t>
      </w:r>
      <w:r>
        <w:rPr>
          <w:lang w:val="en-US"/>
        </w:rPr>
        <w:t xml:space="preserve"> aspects</w:t>
      </w:r>
    </w:p>
    <w:p w14:paraId="66CE31ED" w14:textId="229E2298" w:rsidR="00D967E1" w:rsidRDefault="00D967E1" w:rsidP="00D967E1">
      <w:pPr>
        <w:pStyle w:val="maintext"/>
        <w:numPr>
          <w:ilvl w:val="0"/>
          <w:numId w:val="47"/>
        </w:numPr>
        <w:ind w:firstLineChars="0"/>
      </w:pPr>
      <w:r>
        <w:rPr>
          <w:rFonts w:hint="eastAsia"/>
          <w:lang w:val="en-US"/>
        </w:rPr>
        <w:t>S</w:t>
      </w:r>
      <w:r>
        <w:rPr>
          <w:lang w:val="en-US"/>
        </w:rPr>
        <w:t xml:space="preserve">imultaneous </w:t>
      </w:r>
      <w:r w:rsidRPr="00D967E1">
        <w:rPr>
          <w:lang w:val="en-US"/>
        </w:rPr>
        <w:t>UL transmission of C-link and backhaul link</w:t>
      </w:r>
    </w:p>
    <w:p w14:paraId="1A944E6D" w14:textId="6E35E599" w:rsidR="00197527" w:rsidRDefault="00197527" w:rsidP="00197527">
      <w:pPr>
        <w:pStyle w:val="maintext"/>
        <w:ind w:left="440" w:hangingChars="200" w:hanging="440"/>
        <w:rPr>
          <w:b/>
          <w:bCs/>
        </w:rPr>
      </w:pPr>
      <w:r>
        <w:rPr>
          <w:b/>
          <w:bCs/>
        </w:rPr>
        <w:t>Observation 2. T</w:t>
      </w:r>
      <w:r w:rsidRPr="00D967E1">
        <w:rPr>
          <w:b/>
          <w:bCs/>
        </w:rPr>
        <w:t xml:space="preserve">he following aspects </w:t>
      </w:r>
      <w:r w:rsidR="0045604E">
        <w:rPr>
          <w:b/>
          <w:bCs/>
        </w:rPr>
        <w:t>may</w:t>
      </w:r>
      <w:r w:rsidRPr="00D967E1">
        <w:rPr>
          <w:b/>
          <w:bCs/>
        </w:rPr>
        <w:t xml:space="preserve"> not</w:t>
      </w:r>
      <w:r w:rsidR="0045604E">
        <w:rPr>
          <w:b/>
          <w:bCs/>
        </w:rPr>
        <w:t xml:space="preserve"> be</w:t>
      </w:r>
      <w:r w:rsidRPr="00D967E1">
        <w:rPr>
          <w:b/>
          <w:bCs/>
        </w:rPr>
        <w:t xml:space="preserve"> considered for </w:t>
      </w:r>
      <w:r w:rsidR="006A1162">
        <w:rPr>
          <w:b/>
          <w:bCs/>
        </w:rPr>
        <w:t>NCR</w:t>
      </w:r>
      <w:r w:rsidRPr="00D967E1">
        <w:rPr>
          <w:b/>
          <w:bCs/>
        </w:rPr>
        <w:t>-MT configured output power calculation</w:t>
      </w:r>
      <w:r w:rsidR="0045604E">
        <w:rPr>
          <w:b/>
          <w:bCs/>
        </w:rPr>
        <w:t xml:space="preserve">, </w:t>
      </w:r>
      <w:r w:rsidR="0045604E" w:rsidRPr="0045604E">
        <w:rPr>
          <w:b/>
          <w:bCs/>
        </w:rPr>
        <w:t>if the same mechanism with IAB-MT is applied for NCR-MT</w:t>
      </w:r>
      <w:r>
        <w:rPr>
          <w:b/>
          <w:bCs/>
        </w:rPr>
        <w:t>:</w:t>
      </w:r>
    </w:p>
    <w:p w14:paraId="46917939" w14:textId="77777777" w:rsidR="00197527" w:rsidRPr="00197527" w:rsidRDefault="00197527" w:rsidP="00197527">
      <w:pPr>
        <w:pStyle w:val="maintext"/>
        <w:numPr>
          <w:ilvl w:val="0"/>
          <w:numId w:val="47"/>
        </w:numPr>
        <w:ind w:firstLineChars="0"/>
        <w:rPr>
          <w:b/>
          <w:bCs/>
        </w:rPr>
      </w:pPr>
      <w:r w:rsidRPr="00197527">
        <w:rPr>
          <w:b/>
          <w:bCs/>
          <w:lang w:val="en-US"/>
        </w:rPr>
        <w:t>Power class</w:t>
      </w:r>
    </w:p>
    <w:p w14:paraId="55E46070"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355495A2" w14:textId="77777777" w:rsidR="00197527" w:rsidRPr="00197527" w:rsidRDefault="00197527" w:rsidP="00197527">
      <w:pPr>
        <w:pStyle w:val="maintext"/>
        <w:numPr>
          <w:ilvl w:val="0"/>
          <w:numId w:val="47"/>
        </w:numPr>
        <w:ind w:firstLineChars="0"/>
        <w:rPr>
          <w:b/>
          <w:bCs/>
        </w:rPr>
      </w:pPr>
      <w:r w:rsidRPr="00197527">
        <w:rPr>
          <w:b/>
          <w:bCs/>
          <w:lang w:val="en-US"/>
        </w:rPr>
        <w:t>MPR/A-MPR</w:t>
      </w:r>
    </w:p>
    <w:p w14:paraId="08FD45BE" w14:textId="77777777" w:rsidR="00197527" w:rsidRPr="00197527" w:rsidRDefault="00197527" w:rsidP="00197527">
      <w:pPr>
        <w:pStyle w:val="maintext"/>
        <w:numPr>
          <w:ilvl w:val="0"/>
          <w:numId w:val="47"/>
        </w:numPr>
        <w:ind w:firstLineChars="0"/>
        <w:rPr>
          <w:b/>
          <w:bCs/>
        </w:rPr>
      </w:pPr>
      <w:r w:rsidRPr="00197527">
        <w:rPr>
          <w:b/>
          <w:bCs/>
          <w:lang w:val="en-US"/>
        </w:rPr>
        <w:t>PHR</w:t>
      </w:r>
    </w:p>
    <w:p w14:paraId="77692DFC"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91623F2" w14:textId="37AA90BC" w:rsidR="00197527" w:rsidRPr="006A1162" w:rsidRDefault="00197527" w:rsidP="00197527">
      <w:pPr>
        <w:pStyle w:val="maintext"/>
        <w:numPr>
          <w:ilvl w:val="0"/>
          <w:numId w:val="47"/>
        </w:numPr>
        <w:ind w:firstLineChars="0"/>
        <w:rPr>
          <w:b/>
          <w:bCs/>
        </w:rPr>
      </w:pPr>
      <w:r w:rsidRPr="00197527">
        <w:rPr>
          <w:b/>
          <w:bCs/>
          <w:lang w:val="en-US"/>
        </w:rPr>
        <w:t>SUL and SRS related aspects</w:t>
      </w:r>
    </w:p>
    <w:p w14:paraId="257F4C2C" w14:textId="1A7D0754" w:rsidR="006A1162" w:rsidRPr="00197527" w:rsidRDefault="006A1162" w:rsidP="00197527">
      <w:pPr>
        <w:pStyle w:val="maintext"/>
        <w:numPr>
          <w:ilvl w:val="0"/>
          <w:numId w:val="47"/>
        </w:numPr>
        <w:ind w:firstLineChars="0"/>
        <w:rPr>
          <w:b/>
          <w:bCs/>
        </w:rPr>
      </w:pPr>
      <w:r w:rsidRPr="006A1162">
        <w:rPr>
          <w:b/>
          <w:bCs/>
        </w:rPr>
        <w:t>Simultaneous UL transmission of C-link and backhaul link</w:t>
      </w:r>
    </w:p>
    <w:p w14:paraId="4BE2B84A" w14:textId="0306CD05" w:rsidR="006A1162" w:rsidRPr="002C591C" w:rsidRDefault="00105619" w:rsidP="006A1162">
      <w:pPr>
        <w:pStyle w:val="maintext"/>
        <w:ind w:firstLine="440"/>
      </w:pPr>
      <w:r>
        <w:t>In this case,</w:t>
      </w:r>
      <w:r w:rsidR="002C591C">
        <w:t xml:space="preserve"> the clarification on UE power class needs to be revised as highlighted in </w:t>
      </w:r>
      <w:r w:rsidR="002C591C">
        <w:fldChar w:fldCharType="begin"/>
      </w:r>
      <w:r w:rsidR="002C591C">
        <w:instrText xml:space="preserve"> REF _Ref131679854 \h </w:instrText>
      </w:r>
      <w:r w:rsidR="002C591C">
        <w:fldChar w:fldCharType="separate"/>
      </w:r>
      <w:r w:rsidR="0060477C">
        <w:t xml:space="preserve">Table </w:t>
      </w:r>
      <w:r w:rsidR="0060477C">
        <w:rPr>
          <w:noProof/>
        </w:rPr>
        <w:t>5</w:t>
      </w:r>
      <w:r w:rsidR="002C591C">
        <w:fldChar w:fldCharType="end"/>
      </w:r>
      <w:r w:rsidR="002C591C">
        <w:t xml:space="preserve"> </w:t>
      </w:r>
      <w:r>
        <w:t>to cover</w:t>
      </w:r>
      <w:r w:rsidR="002C591C">
        <w:t xml:space="preserve"> NCR-MT</w:t>
      </w:r>
      <w:r>
        <w:t xml:space="preserve"> as well as IAB-MT</w:t>
      </w:r>
      <w:r w:rsidR="002C591C">
        <w:t>.</w:t>
      </w:r>
    </w:p>
    <w:p w14:paraId="53C4D6A8" w14:textId="12B5B003" w:rsidR="006A1162" w:rsidRDefault="006A1162" w:rsidP="006A1162">
      <w:pPr>
        <w:pStyle w:val="a8"/>
        <w:keepNext/>
        <w:spacing w:after="120"/>
      </w:pPr>
      <w:bookmarkStart w:id="9" w:name="_Ref131679854"/>
      <w:r>
        <w:t xml:space="preserve">Table </w:t>
      </w:r>
      <w:fldSimple w:instr=" SEQ Table \* ARABIC ">
        <w:r w:rsidR="00410128">
          <w:rPr>
            <w:noProof/>
          </w:rPr>
          <w:t>6</w:t>
        </w:r>
      </w:fldSimple>
      <w:bookmarkEnd w:id="9"/>
      <w:r>
        <w:t xml:space="preserve">. </w:t>
      </w:r>
      <w:r w:rsidR="002C591C">
        <w:t xml:space="preserve">Possible clarification on </w:t>
      </w:r>
      <w:r>
        <w:t>UE capability signaling</w:t>
      </w:r>
      <w:r w:rsidR="002C591C">
        <w:t xml:space="preserve"> considering NCR-MT</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1162" w:rsidRPr="00AD05EA" w:rsidDel="002B6D02" w14:paraId="79E95F5A" w14:textId="77777777" w:rsidTr="00AE051C">
        <w:trPr>
          <w:cantSplit/>
          <w:tblHeader/>
        </w:trPr>
        <w:tc>
          <w:tcPr>
            <w:tcW w:w="6917" w:type="dxa"/>
          </w:tcPr>
          <w:p w14:paraId="416BDAD3"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61B6AACA" w14:textId="2DF8BCC5" w:rsidR="006A1162" w:rsidRPr="00AD05EA" w:rsidDel="002B6D02"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E11D0F">
              <w:rPr>
                <w:rFonts w:ascii="Arial" w:eastAsia="Times New Roman" w:hAnsi="Arial"/>
                <w:bCs/>
                <w:iCs/>
                <w:kern w:val="0"/>
                <w:sz w:val="18"/>
                <w:szCs w:val="20"/>
                <w:highlight w:val="yellow"/>
                <w:lang w:val="en-GB" w:eastAsia="ja-JP"/>
              </w:rPr>
              <w:t>This capability is not applicable to IAB-MT</w:t>
            </w:r>
            <w:r w:rsidR="00E11D0F" w:rsidRPr="00E11D0F">
              <w:rPr>
                <w:rFonts w:ascii="Arial" w:eastAsia="Times New Roman" w:hAnsi="Arial"/>
                <w:bCs/>
                <w:iCs/>
                <w:color w:val="FF0000"/>
                <w:kern w:val="0"/>
                <w:sz w:val="18"/>
                <w:szCs w:val="20"/>
                <w:highlight w:val="yellow"/>
                <w:lang w:val="en-GB" w:eastAsia="ja-JP"/>
              </w:rPr>
              <w:t xml:space="preserve"> and NCR-MT (NCR control link)</w:t>
            </w:r>
            <w:r w:rsidRPr="00E11D0F">
              <w:rPr>
                <w:rFonts w:ascii="Arial" w:eastAsia="Times New Roman" w:hAnsi="Arial"/>
                <w:bCs/>
                <w:iCs/>
                <w:kern w:val="0"/>
                <w:sz w:val="18"/>
                <w:szCs w:val="20"/>
                <w:highlight w:val="yellow"/>
                <w:lang w:val="en-GB" w:eastAsia="ja-JP"/>
              </w:rPr>
              <w:t>.</w:t>
            </w:r>
          </w:p>
        </w:tc>
        <w:tc>
          <w:tcPr>
            <w:tcW w:w="709" w:type="dxa"/>
          </w:tcPr>
          <w:p w14:paraId="37C2F4E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4D3B175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6EFC40DF"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5E518F0A"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6A1162" w:rsidRPr="00AD05EA" w14:paraId="2442FA2A" w14:textId="77777777" w:rsidTr="00AE051C">
        <w:trPr>
          <w:cantSplit/>
          <w:tblHeader/>
        </w:trPr>
        <w:tc>
          <w:tcPr>
            <w:tcW w:w="6917" w:type="dxa"/>
          </w:tcPr>
          <w:p w14:paraId="08FBEF0B"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440E297A"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59F4CD"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0C114141"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0D0119EE"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7E4C8597"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58ADF2A8"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7B98851F" w14:textId="77777777" w:rsidR="00753A0B" w:rsidRPr="004545E0" w:rsidRDefault="00753A0B" w:rsidP="00753A0B">
      <w:pPr>
        <w:pStyle w:val="maintext"/>
        <w:ind w:firstLine="440"/>
      </w:pPr>
    </w:p>
    <w:p w14:paraId="771B444E" w14:textId="77777777" w:rsidR="00305F29" w:rsidRDefault="00305F29" w:rsidP="00305F29">
      <w:pPr>
        <w:pStyle w:val="1"/>
        <w:spacing w:after="120"/>
      </w:pPr>
      <w:r>
        <w:rPr>
          <w:rFonts w:hint="eastAsia"/>
        </w:rPr>
        <w:lastRenderedPageBreak/>
        <w:t>Conclusion</w:t>
      </w:r>
    </w:p>
    <w:p w14:paraId="2B88A7EA" w14:textId="3B6C35CE" w:rsidR="00E4251D" w:rsidRPr="00CE3323" w:rsidRDefault="002D5259" w:rsidP="00CE3323">
      <w:pPr>
        <w:pStyle w:val="maintext"/>
        <w:ind w:firstLine="440"/>
      </w:pPr>
      <w:r>
        <w:rPr>
          <w:rFonts w:hint="eastAsia"/>
        </w:rPr>
        <w:t>I</w:t>
      </w:r>
      <w:r>
        <w:t xml:space="preserve">n this contribution, ETRI’s views on </w:t>
      </w:r>
      <w:r w:rsidR="001408C2">
        <w:rPr>
          <w:rFonts w:hint="eastAsia"/>
        </w:rPr>
        <w:t>N</w:t>
      </w:r>
      <w:r w:rsidR="001408C2">
        <w:t>CR features</w:t>
      </w:r>
      <w:r>
        <w:t xml:space="preserve"> </w:t>
      </w:r>
      <w:r w:rsidR="00403F1D">
        <w:t>were</w:t>
      </w:r>
      <w:r>
        <w:t xml:space="preserve"> shown and the following</w:t>
      </w:r>
      <w:r w:rsidR="007C7A7D">
        <w:t xml:space="preserve"> observations and</w:t>
      </w:r>
      <w:r>
        <w:t xml:space="preserve"> proposals were made:</w:t>
      </w:r>
    </w:p>
    <w:p w14:paraId="2109C831" w14:textId="77777777" w:rsidR="00373D32" w:rsidRDefault="00373D32" w:rsidP="00373D32">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0F51B407"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4C743B2C"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220EDD87"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2F555604" w14:textId="77777777" w:rsidR="00373D32" w:rsidRPr="00197527" w:rsidRDefault="00373D32" w:rsidP="00373D32">
      <w:pPr>
        <w:pStyle w:val="maintext"/>
        <w:numPr>
          <w:ilvl w:val="0"/>
          <w:numId w:val="47"/>
        </w:numPr>
        <w:ind w:firstLineChars="0"/>
        <w:rPr>
          <w:b/>
          <w:bCs/>
        </w:rPr>
      </w:pPr>
      <w:r w:rsidRPr="00197527">
        <w:rPr>
          <w:b/>
          <w:bCs/>
          <w:lang w:val="en-US"/>
        </w:rPr>
        <w:t>PHR</w:t>
      </w:r>
    </w:p>
    <w:p w14:paraId="77D1A659"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0E7AECD" w14:textId="77777777" w:rsidR="00373D32" w:rsidRPr="00197527" w:rsidRDefault="00373D32" w:rsidP="00373D32">
      <w:pPr>
        <w:pStyle w:val="maintext"/>
        <w:numPr>
          <w:ilvl w:val="0"/>
          <w:numId w:val="47"/>
        </w:numPr>
        <w:ind w:firstLineChars="0"/>
        <w:rPr>
          <w:b/>
          <w:bCs/>
        </w:rPr>
      </w:pPr>
      <w:r w:rsidRPr="00197527">
        <w:rPr>
          <w:b/>
          <w:bCs/>
          <w:lang w:val="en-US"/>
        </w:rPr>
        <w:t>SUL and SRS related aspects</w:t>
      </w:r>
    </w:p>
    <w:p w14:paraId="7E3F1445" w14:textId="77777777" w:rsidR="00373D32" w:rsidRDefault="00373D32" w:rsidP="00373D32">
      <w:pPr>
        <w:pStyle w:val="maintext"/>
        <w:ind w:left="440" w:hangingChars="200" w:hanging="440"/>
        <w:rPr>
          <w:b/>
          <w:bCs/>
        </w:rPr>
      </w:pPr>
      <w:r>
        <w:rPr>
          <w:b/>
          <w:bCs/>
        </w:rPr>
        <w:t>Observation 2. T</w:t>
      </w:r>
      <w:r w:rsidRPr="00D967E1">
        <w:rPr>
          <w:b/>
          <w:bCs/>
        </w:rPr>
        <w:t xml:space="preserve">he following aspects </w:t>
      </w:r>
      <w:r>
        <w:rPr>
          <w:b/>
          <w:bCs/>
        </w:rPr>
        <w:t>may</w:t>
      </w:r>
      <w:r w:rsidRPr="00D967E1">
        <w:rPr>
          <w:b/>
          <w:bCs/>
        </w:rPr>
        <w:t xml:space="preserve"> not</w:t>
      </w:r>
      <w:r>
        <w:rPr>
          <w:b/>
          <w:bCs/>
        </w:rPr>
        <w:t xml:space="preserve"> be</w:t>
      </w:r>
      <w:r w:rsidRPr="00D967E1">
        <w:rPr>
          <w:b/>
          <w:bCs/>
        </w:rPr>
        <w:t xml:space="preserve"> considered for </w:t>
      </w:r>
      <w:r>
        <w:rPr>
          <w:b/>
          <w:bCs/>
        </w:rPr>
        <w:t>NCR</w:t>
      </w:r>
      <w:r w:rsidRPr="00D967E1">
        <w:rPr>
          <w:b/>
          <w:bCs/>
        </w:rPr>
        <w:t>-MT configured output power calculation</w:t>
      </w:r>
      <w:r>
        <w:rPr>
          <w:b/>
          <w:bCs/>
        </w:rPr>
        <w:t xml:space="preserve">, </w:t>
      </w:r>
      <w:r w:rsidRPr="0045604E">
        <w:rPr>
          <w:b/>
          <w:bCs/>
        </w:rPr>
        <w:t>if the same mechanism with IAB-MT is applied for NCR-MT</w:t>
      </w:r>
      <w:r>
        <w:rPr>
          <w:b/>
          <w:bCs/>
        </w:rPr>
        <w:t>:</w:t>
      </w:r>
    </w:p>
    <w:p w14:paraId="54F9A95B"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08E2DF81"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2A50A5E"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108B7BF6" w14:textId="77777777" w:rsidR="00373D32" w:rsidRPr="00197527" w:rsidRDefault="00373D32" w:rsidP="00373D32">
      <w:pPr>
        <w:pStyle w:val="maintext"/>
        <w:numPr>
          <w:ilvl w:val="0"/>
          <w:numId w:val="47"/>
        </w:numPr>
        <w:ind w:firstLineChars="0"/>
        <w:rPr>
          <w:b/>
          <w:bCs/>
        </w:rPr>
      </w:pPr>
      <w:r w:rsidRPr="00197527">
        <w:rPr>
          <w:b/>
          <w:bCs/>
          <w:lang w:val="en-US"/>
        </w:rPr>
        <w:t>PHR</w:t>
      </w:r>
    </w:p>
    <w:p w14:paraId="521F4E9B"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61770AB" w14:textId="77777777" w:rsidR="00373D32" w:rsidRPr="006A1162" w:rsidRDefault="00373D32" w:rsidP="00373D32">
      <w:pPr>
        <w:pStyle w:val="maintext"/>
        <w:numPr>
          <w:ilvl w:val="0"/>
          <w:numId w:val="47"/>
        </w:numPr>
        <w:ind w:firstLineChars="0"/>
        <w:rPr>
          <w:b/>
          <w:bCs/>
        </w:rPr>
      </w:pPr>
      <w:r w:rsidRPr="00197527">
        <w:rPr>
          <w:b/>
          <w:bCs/>
          <w:lang w:val="en-US"/>
        </w:rPr>
        <w:t>SUL and SRS related aspects</w:t>
      </w:r>
    </w:p>
    <w:p w14:paraId="1C4A1A3A" w14:textId="77777777" w:rsidR="00373D32" w:rsidRPr="00197527" w:rsidRDefault="00373D32" w:rsidP="00373D32">
      <w:pPr>
        <w:pStyle w:val="maintext"/>
        <w:numPr>
          <w:ilvl w:val="0"/>
          <w:numId w:val="47"/>
        </w:numPr>
        <w:ind w:firstLineChars="0"/>
        <w:rPr>
          <w:b/>
          <w:bCs/>
        </w:rPr>
      </w:pPr>
      <w:r w:rsidRPr="006A1162">
        <w:rPr>
          <w:b/>
          <w:bCs/>
        </w:rPr>
        <w:t>Simultaneous UL transmission of C-link and backhaul link</w:t>
      </w:r>
    </w:p>
    <w:p w14:paraId="43E0B8D1" w14:textId="00ADBBD5" w:rsidR="006E0BD6" w:rsidRDefault="006E0BD6" w:rsidP="00373D32">
      <w:pPr>
        <w:pStyle w:val="maintext"/>
        <w:ind w:firstLine="440"/>
      </w:pPr>
    </w:p>
    <w:p w14:paraId="40A18C4F" w14:textId="77777777" w:rsidR="00AF11F4" w:rsidRDefault="00AF11F4" w:rsidP="00AF11F4">
      <w:pPr>
        <w:pStyle w:val="maintext"/>
        <w:ind w:left="440" w:hangingChars="200" w:hanging="440"/>
        <w:rPr>
          <w:b/>
          <w:bCs/>
        </w:rPr>
      </w:pPr>
      <w:r>
        <w:rPr>
          <w:rFonts w:hint="eastAsia"/>
          <w:b/>
          <w:bCs/>
        </w:rPr>
        <w:t>P</w:t>
      </w:r>
      <w:r>
        <w:rPr>
          <w:b/>
          <w:bCs/>
        </w:rPr>
        <w:t>roposal 1. RAN1 to confirm the followings on simultaneous UL transmission of backhaul link and C-link:</w:t>
      </w:r>
    </w:p>
    <w:p w14:paraId="109080ED" w14:textId="77777777" w:rsidR="00AF11F4" w:rsidRDefault="00AF11F4" w:rsidP="00AF11F4">
      <w:pPr>
        <w:pStyle w:val="maintext"/>
        <w:numPr>
          <w:ilvl w:val="0"/>
          <w:numId w:val="50"/>
        </w:numPr>
        <w:ind w:firstLineChars="0"/>
        <w:rPr>
          <w:b/>
          <w:bCs/>
        </w:rPr>
      </w:pPr>
      <w:r>
        <w:rPr>
          <w:rFonts w:hint="eastAsia"/>
          <w:b/>
          <w:bCs/>
        </w:rPr>
        <w:t>A</w:t>
      </w:r>
      <w:r>
        <w:rPr>
          <w:b/>
          <w:bCs/>
        </w:rPr>
        <w:t xml:space="preserve">t least three types of implementations can be considered for </w:t>
      </w:r>
      <w:r w:rsidRPr="00E81177">
        <w:rPr>
          <w:b/>
          <w:bCs/>
        </w:rPr>
        <w:t>UL transmission of backhaul link and C-link</w:t>
      </w:r>
    </w:p>
    <w:p w14:paraId="12AECFDA" w14:textId="77777777" w:rsidR="00AF11F4" w:rsidRPr="00E81177" w:rsidRDefault="00AF11F4" w:rsidP="00AF11F4">
      <w:pPr>
        <w:pStyle w:val="maintext"/>
        <w:numPr>
          <w:ilvl w:val="1"/>
          <w:numId w:val="50"/>
        </w:numPr>
        <w:ind w:firstLineChars="0"/>
        <w:rPr>
          <w:b/>
          <w:bCs/>
        </w:rPr>
      </w:pPr>
      <w:r w:rsidRPr="00E81177">
        <w:rPr>
          <w:b/>
          <w:bCs/>
        </w:rPr>
        <w:t xml:space="preserve">For Type 1, NCR is not subject to a joint power limit across the C-link and BH-link. </w:t>
      </w:r>
    </w:p>
    <w:p w14:paraId="5768AA2C" w14:textId="77777777" w:rsidR="00AF11F4" w:rsidRPr="00E81177" w:rsidRDefault="00AF11F4" w:rsidP="00AF11F4">
      <w:pPr>
        <w:pStyle w:val="maintext"/>
        <w:numPr>
          <w:ilvl w:val="1"/>
          <w:numId w:val="50"/>
        </w:numPr>
        <w:ind w:firstLineChars="0"/>
        <w:rPr>
          <w:b/>
          <w:bCs/>
        </w:rPr>
      </w:pPr>
      <w:r w:rsidRPr="00E81177">
        <w:rPr>
          <w:b/>
          <w:bCs/>
        </w:rPr>
        <w:t>For Type 2, is subject to a joint power limit across the C-link and BH-link and supports power sharing when power limited.</w:t>
      </w:r>
    </w:p>
    <w:p w14:paraId="65553ADD" w14:textId="77777777" w:rsidR="00AF11F4" w:rsidRDefault="00AF11F4" w:rsidP="00AF11F4">
      <w:pPr>
        <w:pStyle w:val="maintext"/>
        <w:numPr>
          <w:ilvl w:val="1"/>
          <w:numId w:val="50"/>
        </w:numPr>
        <w:ind w:firstLineChars="0"/>
        <w:rPr>
          <w:b/>
          <w:bCs/>
        </w:rPr>
      </w:pPr>
      <w:r w:rsidRPr="00E81177">
        <w:rPr>
          <w:b/>
          <w:bCs/>
        </w:rPr>
        <w:t>For Type 3, is subject to a joint power limit across the C-link and BH-link and does not support power sharing when power limited</w:t>
      </w:r>
    </w:p>
    <w:p w14:paraId="30FCDF68" w14:textId="77777777" w:rsidR="00715A12" w:rsidRDefault="00715A12" w:rsidP="00715A12">
      <w:pPr>
        <w:pStyle w:val="maintext"/>
        <w:numPr>
          <w:ilvl w:val="0"/>
          <w:numId w:val="50"/>
        </w:numPr>
        <w:ind w:firstLineChars="0"/>
        <w:rPr>
          <w:b/>
          <w:bCs/>
        </w:rPr>
      </w:pPr>
      <w:r>
        <w:rPr>
          <w:b/>
          <w:bCs/>
        </w:rPr>
        <w:t>T</w:t>
      </w:r>
      <w:r w:rsidRPr="00E81177">
        <w:rPr>
          <w:b/>
          <w:bCs/>
        </w:rPr>
        <w:t>ype 1 NCR can be feasible</w:t>
      </w:r>
      <w:r>
        <w:rPr>
          <w:b/>
          <w:bCs/>
        </w:rPr>
        <w:t>,</w:t>
      </w:r>
      <w:r w:rsidRPr="00E81177">
        <w:rPr>
          <w:b/>
          <w:bCs/>
        </w:rPr>
        <w:t xml:space="preserve"> </w:t>
      </w:r>
    </w:p>
    <w:p w14:paraId="701374A4" w14:textId="77777777" w:rsidR="00715A12" w:rsidRDefault="00715A12" w:rsidP="00715A12">
      <w:pPr>
        <w:pStyle w:val="maintext"/>
        <w:numPr>
          <w:ilvl w:val="1"/>
          <w:numId w:val="50"/>
        </w:numPr>
        <w:ind w:firstLineChars="0"/>
        <w:rPr>
          <w:b/>
          <w:bCs/>
        </w:rPr>
      </w:pPr>
      <w:r w:rsidRPr="00E81177">
        <w:rPr>
          <w:b/>
          <w:bCs/>
        </w:rPr>
        <w:t>if the NCR can clarify two independent/individual power classes, i.e., one for C-link and the other one for backhaul link</w:t>
      </w:r>
      <w:r>
        <w:rPr>
          <w:b/>
          <w:bCs/>
        </w:rPr>
        <w:t>,</w:t>
      </w:r>
    </w:p>
    <w:p w14:paraId="356EABF1" w14:textId="7E37060C" w:rsidR="00715A12" w:rsidRDefault="00715A12" w:rsidP="00715A12">
      <w:pPr>
        <w:pStyle w:val="maintext"/>
        <w:numPr>
          <w:ilvl w:val="1"/>
          <w:numId w:val="50"/>
        </w:numPr>
        <w:ind w:firstLineChars="0"/>
        <w:rPr>
          <w:b/>
          <w:bCs/>
        </w:rPr>
      </w:pPr>
      <w:r>
        <w:rPr>
          <w:b/>
          <w:bCs/>
        </w:rPr>
        <w:t xml:space="preserve">or if </w:t>
      </w:r>
      <w:r w:rsidRPr="00E81177">
        <w:rPr>
          <w:b/>
          <w:bCs/>
        </w:rPr>
        <w:t>the NCR can clarif</w:t>
      </w:r>
      <w:r>
        <w:rPr>
          <w:b/>
          <w:bCs/>
        </w:rPr>
        <w:t>y</w:t>
      </w:r>
      <w:r w:rsidRPr="00E81177">
        <w:rPr>
          <w:b/>
          <w:bCs/>
        </w:rPr>
        <w:t xml:space="preserve"> </w:t>
      </w:r>
      <w:r>
        <w:rPr>
          <w:b/>
          <w:bCs/>
        </w:rPr>
        <w:t>a single</w:t>
      </w:r>
      <w:r w:rsidRPr="00E81177">
        <w:rPr>
          <w:b/>
          <w:bCs/>
        </w:rPr>
        <w:t xml:space="preserve"> power class,</w:t>
      </w:r>
      <w:r>
        <w:rPr>
          <w:b/>
          <w:bCs/>
        </w:rPr>
        <w:t xml:space="preserve"> while the clarified power class is independently applied for C-link and backhaul link, respectively.</w:t>
      </w:r>
    </w:p>
    <w:p w14:paraId="1444E644" w14:textId="77777777" w:rsidR="00AF11F4" w:rsidRDefault="00AF11F4" w:rsidP="00AF11F4">
      <w:pPr>
        <w:pStyle w:val="maintext"/>
        <w:numPr>
          <w:ilvl w:val="0"/>
          <w:numId w:val="50"/>
        </w:numPr>
        <w:ind w:firstLineChars="0"/>
        <w:rPr>
          <w:b/>
          <w:bCs/>
        </w:rPr>
      </w:pPr>
      <w:r>
        <w:rPr>
          <w:rFonts w:hint="eastAsia"/>
          <w:b/>
          <w:bCs/>
        </w:rPr>
        <w:t>T</w:t>
      </w:r>
      <w:r>
        <w:rPr>
          <w:b/>
          <w:bCs/>
        </w:rPr>
        <w:t>ype 2 NCR are not supported by Rel-18 NCR specifications.</w:t>
      </w:r>
    </w:p>
    <w:p w14:paraId="324289C8" w14:textId="77777777" w:rsidR="00AF11F4" w:rsidRDefault="00AF11F4" w:rsidP="00AF11F4">
      <w:pPr>
        <w:pStyle w:val="maintext"/>
        <w:numPr>
          <w:ilvl w:val="0"/>
          <w:numId w:val="50"/>
        </w:numPr>
        <w:ind w:firstLineChars="0"/>
        <w:rPr>
          <w:b/>
          <w:bCs/>
        </w:rPr>
      </w:pPr>
      <w:r w:rsidRPr="00AF11F4">
        <w:rPr>
          <w:b/>
          <w:bCs/>
        </w:rPr>
        <w:t xml:space="preserve">Type 3 NCR </w:t>
      </w:r>
      <w:r>
        <w:rPr>
          <w:b/>
          <w:bCs/>
        </w:rPr>
        <w:t>is feasible with</w:t>
      </w:r>
      <w:r w:rsidRPr="00AF11F4">
        <w:rPr>
          <w:b/>
          <w:bCs/>
        </w:rPr>
        <w:t xml:space="preserve"> a single power class for both C-link and backhaul link. </w:t>
      </w:r>
    </w:p>
    <w:p w14:paraId="3DAC97A5" w14:textId="77777777" w:rsidR="00AF11F4" w:rsidRDefault="00AF11F4" w:rsidP="00AF11F4">
      <w:pPr>
        <w:pStyle w:val="maintext"/>
        <w:numPr>
          <w:ilvl w:val="1"/>
          <w:numId w:val="50"/>
        </w:numPr>
        <w:ind w:firstLineChars="0"/>
        <w:rPr>
          <w:b/>
          <w:bCs/>
        </w:rPr>
      </w:pPr>
      <w:r w:rsidRPr="00AF11F4">
        <w:rPr>
          <w:b/>
          <w:bCs/>
        </w:rPr>
        <w:t>In this case, it should be confirmed that power control for C-link has higher priority than power allocation for backhaul link given that the NCR-MT will apply the existing power control for C-link as agreed.</w:t>
      </w:r>
    </w:p>
    <w:p w14:paraId="0D7E1660" w14:textId="77777777" w:rsidR="00AF11F4" w:rsidRDefault="00AF11F4" w:rsidP="00AF11F4">
      <w:pPr>
        <w:pStyle w:val="maintext"/>
        <w:ind w:left="440" w:hangingChars="200" w:hanging="440"/>
        <w:rPr>
          <w:b/>
          <w:bCs/>
        </w:rPr>
      </w:pPr>
      <w:r>
        <w:rPr>
          <w:rFonts w:hint="eastAsia"/>
          <w:b/>
          <w:bCs/>
        </w:rPr>
        <w:lastRenderedPageBreak/>
        <w:t>P</w:t>
      </w:r>
      <w:r>
        <w:rPr>
          <w:b/>
          <w:bCs/>
        </w:rPr>
        <w:t>roposal 2. Send LS to RAN4 informing them about the RAN1 conclusion on NCR power class according to various implementation choices for simultaneous UL transmission of backhaul link and C-link.</w:t>
      </w:r>
    </w:p>
    <w:p w14:paraId="5ECF7660" w14:textId="144CDEC4" w:rsidR="00373D32" w:rsidRDefault="00105619" w:rsidP="00373D32">
      <w:pPr>
        <w:pStyle w:val="maintext"/>
        <w:ind w:left="440" w:hangingChars="200" w:hanging="440"/>
        <w:rPr>
          <w:b/>
          <w:bCs/>
        </w:rPr>
      </w:pPr>
      <w:r>
        <w:rPr>
          <w:rFonts w:hint="eastAsia"/>
          <w:b/>
          <w:bCs/>
        </w:rPr>
        <w:t>P</w:t>
      </w:r>
      <w:r>
        <w:rPr>
          <w:b/>
          <w:bCs/>
        </w:rPr>
        <w:t xml:space="preserve">roposal </w:t>
      </w:r>
      <w:r w:rsidR="00AF11F4">
        <w:rPr>
          <w:b/>
          <w:bCs/>
        </w:rPr>
        <w:t>3</w:t>
      </w:r>
      <w:r>
        <w:rPr>
          <w:b/>
          <w:bCs/>
        </w:rPr>
        <w:t xml:space="preserve">. Revise </w:t>
      </w:r>
      <w:r w:rsidRPr="00105619">
        <w:rPr>
          <w:b/>
          <w:bCs/>
        </w:rPr>
        <w:t>the clarification on UE power class to cover NCR-MT as well as IAB-MT</w:t>
      </w:r>
      <w:r>
        <w:rPr>
          <w:b/>
          <w:bC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5619" w:rsidRPr="00AD05EA" w:rsidDel="002B6D02" w14:paraId="2914B2DF" w14:textId="77777777" w:rsidTr="00190E31">
        <w:trPr>
          <w:cantSplit/>
          <w:tblHeader/>
        </w:trPr>
        <w:tc>
          <w:tcPr>
            <w:tcW w:w="6917" w:type="dxa"/>
          </w:tcPr>
          <w:p w14:paraId="345218C2"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4C8CA537" w14:textId="77777777" w:rsidR="00105619" w:rsidRPr="00AD05EA" w:rsidDel="002B6D02" w:rsidRDefault="00105619" w:rsidP="00190E31">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E11D0F">
              <w:rPr>
                <w:rFonts w:ascii="Arial" w:eastAsia="Times New Roman" w:hAnsi="Arial"/>
                <w:bCs/>
                <w:iCs/>
                <w:kern w:val="0"/>
                <w:sz w:val="18"/>
                <w:szCs w:val="20"/>
                <w:highlight w:val="yellow"/>
                <w:lang w:val="en-GB" w:eastAsia="ja-JP"/>
              </w:rPr>
              <w:t>This capability is not applicable to IAB-MT</w:t>
            </w:r>
            <w:r w:rsidRPr="00E11D0F">
              <w:rPr>
                <w:rFonts w:ascii="Arial" w:eastAsia="Times New Roman" w:hAnsi="Arial"/>
                <w:bCs/>
                <w:iCs/>
                <w:color w:val="FF0000"/>
                <w:kern w:val="0"/>
                <w:sz w:val="18"/>
                <w:szCs w:val="20"/>
                <w:highlight w:val="yellow"/>
                <w:lang w:val="en-GB" w:eastAsia="ja-JP"/>
              </w:rPr>
              <w:t xml:space="preserve"> and NCR-MT (NCR control link)</w:t>
            </w:r>
            <w:r w:rsidRPr="00E11D0F">
              <w:rPr>
                <w:rFonts w:ascii="Arial" w:eastAsia="Times New Roman" w:hAnsi="Arial"/>
                <w:bCs/>
                <w:iCs/>
                <w:kern w:val="0"/>
                <w:sz w:val="18"/>
                <w:szCs w:val="20"/>
                <w:highlight w:val="yellow"/>
                <w:lang w:val="en-GB" w:eastAsia="ja-JP"/>
              </w:rPr>
              <w:t>.</w:t>
            </w:r>
          </w:p>
        </w:tc>
        <w:tc>
          <w:tcPr>
            <w:tcW w:w="709" w:type="dxa"/>
          </w:tcPr>
          <w:p w14:paraId="4AAB078C"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1E4D5429"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17A27B9E"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4F6D2441"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105619" w:rsidRPr="00AD05EA" w14:paraId="47F5565D" w14:textId="77777777" w:rsidTr="00190E31">
        <w:trPr>
          <w:cantSplit/>
          <w:tblHeader/>
        </w:trPr>
        <w:tc>
          <w:tcPr>
            <w:tcW w:w="6917" w:type="dxa"/>
          </w:tcPr>
          <w:p w14:paraId="1A1EE603"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2E6AC221"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50A638F0"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13E33DEF"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0FCBBF23"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167055DE"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6E9AE94E"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72F38B90" w14:textId="77777777" w:rsidR="006E0BD6" w:rsidRPr="00B90473" w:rsidRDefault="006E0BD6"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0CEA3BB2" w14:textId="03054F3E" w:rsidR="0039640A" w:rsidRDefault="0039640A" w:rsidP="00B4231A">
      <w:pPr>
        <w:pStyle w:val="a7"/>
        <w:numPr>
          <w:ilvl w:val="0"/>
          <w:numId w:val="2"/>
        </w:numPr>
        <w:spacing w:after="120"/>
        <w:ind w:leftChars="0"/>
      </w:pPr>
      <w:bookmarkStart w:id="10" w:name="_Ref94002833"/>
      <w:bookmarkStart w:id="11" w:name="_Ref134718765"/>
      <w:bookmarkStart w:id="12" w:name="_Ref146101181"/>
      <w:bookmarkStart w:id="13" w:name="_Ref131672311"/>
      <w:bookmarkEnd w:id="10"/>
      <w:r>
        <w:rPr>
          <w:rFonts w:hint="eastAsia"/>
        </w:rPr>
        <w:t>R</w:t>
      </w:r>
      <w:r>
        <w:t>1-230</w:t>
      </w:r>
      <w:r w:rsidR="0060477C">
        <w:t>7880</w:t>
      </w:r>
      <w:r>
        <w:t xml:space="preserve">, </w:t>
      </w:r>
      <w:r w:rsidR="0060477C">
        <w:t>Summary of UE features for NR NCR</w:t>
      </w:r>
      <w:r>
        <w:t xml:space="preserve">, </w:t>
      </w:r>
      <w:bookmarkEnd w:id="11"/>
      <w:r w:rsidR="0060477C">
        <w:t>Moderator</w:t>
      </w:r>
      <w:r w:rsidR="006207EE" w:rsidRPr="006207EE">
        <w:t xml:space="preserve"> (AT&amp;T)</w:t>
      </w:r>
      <w:bookmarkEnd w:id="12"/>
    </w:p>
    <w:p w14:paraId="7DBDA502" w14:textId="1AA1DC2F" w:rsidR="0060477C" w:rsidRDefault="0060477C" w:rsidP="00B4231A">
      <w:pPr>
        <w:pStyle w:val="a7"/>
        <w:numPr>
          <w:ilvl w:val="0"/>
          <w:numId w:val="2"/>
        </w:numPr>
        <w:spacing w:after="120"/>
        <w:ind w:leftChars="0"/>
      </w:pPr>
      <w:bookmarkStart w:id="14" w:name="_Ref146096534"/>
      <w:r>
        <w:rPr>
          <w:rFonts w:hint="eastAsia"/>
        </w:rPr>
        <w:t>R</w:t>
      </w:r>
      <w:r>
        <w:t>1-2308577, Session Notes of AI 9.16.4, Ad-Hoc Chair (AT&amp;T)</w:t>
      </w:r>
      <w:bookmarkEnd w:id="14"/>
    </w:p>
    <w:p w14:paraId="18D9F213" w14:textId="3A0A26B4" w:rsidR="008F7B32" w:rsidRDefault="008F7B32" w:rsidP="00B4231A">
      <w:pPr>
        <w:pStyle w:val="a7"/>
        <w:numPr>
          <w:ilvl w:val="0"/>
          <w:numId w:val="2"/>
        </w:numPr>
        <w:spacing w:after="120"/>
        <w:ind w:leftChars="0"/>
      </w:pPr>
      <w:bookmarkStart w:id="15" w:name="_Ref131673272"/>
      <w:bookmarkEnd w:id="13"/>
      <w:r>
        <w:rPr>
          <w:rFonts w:hint="eastAsia"/>
        </w:rPr>
        <w:t>3</w:t>
      </w:r>
      <w:r>
        <w:t>GPP TS38.306 V17.3.0</w:t>
      </w:r>
      <w:bookmarkStart w:id="16" w:name="_Ref101964354"/>
      <w:bookmarkEnd w:id="15"/>
    </w:p>
    <w:p w14:paraId="20D4EE2E" w14:textId="43E56F49" w:rsidR="001549A6" w:rsidRDefault="001549A6" w:rsidP="001549A6">
      <w:pPr>
        <w:pStyle w:val="a7"/>
        <w:numPr>
          <w:ilvl w:val="0"/>
          <w:numId w:val="2"/>
        </w:numPr>
        <w:spacing w:after="120"/>
        <w:ind w:leftChars="0"/>
      </w:pPr>
      <w:bookmarkStart w:id="17" w:name="_Ref127521964"/>
      <w:bookmarkStart w:id="18" w:name="_Ref131678633"/>
      <w:r>
        <w:rPr>
          <w:rFonts w:hint="eastAsia"/>
        </w:rPr>
        <w:t>3</w:t>
      </w:r>
      <w:r>
        <w:t>GPP TS38.115-1</w:t>
      </w:r>
      <w:bookmarkEnd w:id="17"/>
      <w:r>
        <w:t xml:space="preserve"> V17.1.0</w:t>
      </w:r>
      <w:bookmarkEnd w:id="18"/>
    </w:p>
    <w:p w14:paraId="23C22711" w14:textId="77777777" w:rsidR="001549A6" w:rsidRDefault="001549A6" w:rsidP="001549A6">
      <w:pPr>
        <w:pStyle w:val="a7"/>
        <w:numPr>
          <w:ilvl w:val="0"/>
          <w:numId w:val="2"/>
        </w:numPr>
        <w:spacing w:after="120"/>
        <w:ind w:leftChars="0"/>
      </w:pPr>
      <w:bookmarkStart w:id="19" w:name="_Ref127521966"/>
      <w:bookmarkStart w:id="20" w:name="_Ref131679009"/>
      <w:r>
        <w:rPr>
          <w:rFonts w:hint="eastAsia"/>
        </w:rPr>
        <w:t>3</w:t>
      </w:r>
      <w:r>
        <w:t>GPP TS38.115-2</w:t>
      </w:r>
      <w:bookmarkEnd w:id="19"/>
      <w:r>
        <w:t xml:space="preserve"> V17.1.0</w:t>
      </w:r>
      <w:bookmarkEnd w:id="20"/>
    </w:p>
    <w:bookmarkEnd w:id="16"/>
    <w:p w14:paraId="42C5DFEE" w14:textId="77777777" w:rsidR="00B4231A" w:rsidRPr="00483929" w:rsidRDefault="00B4231A" w:rsidP="00C60FFA">
      <w:pPr>
        <w:spacing w:after="120"/>
      </w:pPr>
    </w:p>
    <w:sectPr w:rsidR="00B4231A" w:rsidRPr="00483929"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780E3" w14:textId="77777777" w:rsidR="00D91666" w:rsidRDefault="00D91666" w:rsidP="00334902">
      <w:pPr>
        <w:spacing w:after="120"/>
      </w:pPr>
      <w:r>
        <w:separator/>
      </w:r>
    </w:p>
  </w:endnote>
  <w:endnote w:type="continuationSeparator" w:id="0">
    <w:p w14:paraId="2979056D" w14:textId="77777777" w:rsidR="00D91666" w:rsidRDefault="00D91666"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n-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33A87" w14:textId="77777777" w:rsidR="00D91666" w:rsidRDefault="00D91666" w:rsidP="00334902">
      <w:pPr>
        <w:spacing w:after="120"/>
      </w:pPr>
      <w:r>
        <w:separator/>
      </w:r>
    </w:p>
  </w:footnote>
  <w:footnote w:type="continuationSeparator" w:id="0">
    <w:p w14:paraId="4BD4D7C9" w14:textId="77777777" w:rsidR="00D91666" w:rsidRDefault="00D91666"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385E1F"/>
    <w:multiLevelType w:val="hybridMultilevel"/>
    <w:tmpl w:val="07302DD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42780"/>
    <w:multiLevelType w:val="hybridMultilevel"/>
    <w:tmpl w:val="107CAF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458F2"/>
    <w:multiLevelType w:val="hybridMultilevel"/>
    <w:tmpl w:val="219A7B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C5256"/>
    <w:multiLevelType w:val="hybridMultilevel"/>
    <w:tmpl w:val="E4621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F95636"/>
    <w:multiLevelType w:val="hybridMultilevel"/>
    <w:tmpl w:val="68085EB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0513E5"/>
    <w:multiLevelType w:val="hybridMultilevel"/>
    <w:tmpl w:val="D50E235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7F2848"/>
    <w:multiLevelType w:val="hybridMultilevel"/>
    <w:tmpl w:val="34DC519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3279A2"/>
    <w:multiLevelType w:val="hybridMultilevel"/>
    <w:tmpl w:val="27C625B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3A2533"/>
    <w:multiLevelType w:val="hybridMultilevel"/>
    <w:tmpl w:val="BBEA982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2F4B9C"/>
    <w:multiLevelType w:val="hybridMultilevel"/>
    <w:tmpl w:val="DB26BEA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3249B2"/>
    <w:multiLevelType w:val="multilevel"/>
    <w:tmpl w:val="3A324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D603D11"/>
    <w:multiLevelType w:val="hybridMultilevel"/>
    <w:tmpl w:val="D09C970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AF240E"/>
    <w:multiLevelType w:val="hybridMultilevel"/>
    <w:tmpl w:val="E3DAC26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B10CDC"/>
    <w:multiLevelType w:val="hybridMultilevel"/>
    <w:tmpl w:val="02802D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A17A27"/>
    <w:multiLevelType w:val="hybridMultilevel"/>
    <w:tmpl w:val="E34A4CD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A38106C"/>
    <w:multiLevelType w:val="hybridMultilevel"/>
    <w:tmpl w:val="76C4D28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3CD1516"/>
    <w:multiLevelType w:val="hybridMultilevel"/>
    <w:tmpl w:val="2862BE1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5C5454"/>
    <w:multiLevelType w:val="hybridMultilevel"/>
    <w:tmpl w:val="24460774"/>
    <w:lvl w:ilvl="0" w:tplc="04090003">
      <w:start w:val="1"/>
      <w:numFmt w:val="bullet"/>
      <w:lvlText w:val="o"/>
      <w:lvlJc w:val="left"/>
      <w:pPr>
        <w:ind w:left="800" w:hanging="400"/>
      </w:pPr>
      <w:rPr>
        <w:rFonts w:ascii="Courier New" w:hAnsi="Courier New" w:cs="Courier New" w:hint="default"/>
      </w:rPr>
    </w:lvl>
    <w:lvl w:ilvl="1" w:tplc="2F401BE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7B4004"/>
    <w:multiLevelType w:val="hybridMultilevel"/>
    <w:tmpl w:val="119C0D4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04B72A4"/>
    <w:multiLevelType w:val="hybridMultilevel"/>
    <w:tmpl w:val="8B8042D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6F927CDF"/>
    <w:multiLevelType w:val="hybridMultilevel"/>
    <w:tmpl w:val="7A1881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2B2F03"/>
    <w:multiLevelType w:val="hybridMultilevel"/>
    <w:tmpl w:val="984C1F9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9667D5"/>
    <w:multiLevelType w:val="hybridMultilevel"/>
    <w:tmpl w:val="E3B2A71E"/>
    <w:lvl w:ilvl="0" w:tplc="2F401BE8">
      <w:start w:val="1"/>
      <w:numFmt w:val="bullet"/>
      <w:lvlText w:val=""/>
      <w:lvlJc w:val="left"/>
      <w:pPr>
        <w:ind w:left="800" w:hanging="400"/>
      </w:pPr>
      <w:rPr>
        <w:rFonts w:ascii="Wingdings" w:hAnsi="Wingdings" w:hint="default"/>
      </w:rPr>
    </w:lvl>
    <w:lvl w:ilvl="1" w:tplc="9F3EAEE8">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CC0F6D"/>
    <w:multiLevelType w:val="hybridMultilevel"/>
    <w:tmpl w:val="7D3CEDDE"/>
    <w:lvl w:ilvl="0" w:tplc="DEA88E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2"/>
  </w:num>
  <w:num w:numId="2">
    <w:abstractNumId w:val="1"/>
  </w:num>
  <w:num w:numId="3">
    <w:abstractNumId w:val="4"/>
  </w:num>
  <w:num w:numId="4">
    <w:abstractNumId w:val="45"/>
  </w:num>
  <w:num w:numId="5">
    <w:abstractNumId w:val="0"/>
  </w:num>
  <w:num w:numId="6">
    <w:abstractNumId w:val="27"/>
  </w:num>
  <w:num w:numId="7">
    <w:abstractNumId w:val="6"/>
  </w:num>
  <w:num w:numId="8">
    <w:abstractNumId w:val="8"/>
  </w:num>
  <w:num w:numId="9">
    <w:abstractNumId w:val="16"/>
  </w:num>
  <w:num w:numId="10">
    <w:abstractNumId w:val="24"/>
  </w:num>
  <w:num w:numId="11">
    <w:abstractNumId w:val="5"/>
  </w:num>
  <w:num w:numId="12">
    <w:abstractNumId w:val="10"/>
  </w:num>
  <w:num w:numId="13">
    <w:abstractNumId w:val="32"/>
  </w:num>
  <w:num w:numId="14">
    <w:abstractNumId w:val="48"/>
  </w:num>
  <w:num w:numId="15">
    <w:abstractNumId w:val="41"/>
  </w:num>
  <w:num w:numId="16">
    <w:abstractNumId w:val="2"/>
  </w:num>
  <w:num w:numId="17">
    <w:abstractNumId w:val="36"/>
  </w:num>
  <w:num w:numId="18">
    <w:abstractNumId w:val="47"/>
  </w:num>
  <w:num w:numId="19">
    <w:abstractNumId w:val="12"/>
  </w:num>
  <w:num w:numId="20">
    <w:abstractNumId w:val="29"/>
  </w:num>
  <w:num w:numId="21">
    <w:abstractNumId w:val="44"/>
  </w:num>
  <w:num w:numId="22">
    <w:abstractNumId w:val="19"/>
  </w:num>
  <w:num w:numId="23">
    <w:abstractNumId w:val="20"/>
  </w:num>
  <w:num w:numId="24">
    <w:abstractNumId w:val="49"/>
  </w:num>
  <w:num w:numId="25">
    <w:abstractNumId w:val="33"/>
  </w:num>
  <w:num w:numId="26">
    <w:abstractNumId w:val="11"/>
  </w:num>
  <w:num w:numId="27">
    <w:abstractNumId w:val="34"/>
  </w:num>
  <w:num w:numId="28">
    <w:abstractNumId w:val="43"/>
  </w:num>
  <w:num w:numId="29">
    <w:abstractNumId w:val="28"/>
  </w:num>
  <w:num w:numId="30">
    <w:abstractNumId w:val="37"/>
  </w:num>
  <w:num w:numId="31">
    <w:abstractNumId w:val="7"/>
  </w:num>
  <w:num w:numId="32">
    <w:abstractNumId w:val="22"/>
  </w:num>
  <w:num w:numId="33">
    <w:abstractNumId w:val="38"/>
  </w:num>
  <w:num w:numId="34">
    <w:abstractNumId w:val="18"/>
  </w:num>
  <w:num w:numId="35">
    <w:abstractNumId w:val="23"/>
  </w:num>
  <w:num w:numId="36">
    <w:abstractNumId w:val="31"/>
  </w:num>
  <w:num w:numId="37">
    <w:abstractNumId w:val="15"/>
  </w:num>
  <w:num w:numId="38">
    <w:abstractNumId w:val="17"/>
  </w:num>
  <w:num w:numId="39">
    <w:abstractNumId w:val="21"/>
  </w:num>
  <w:num w:numId="40">
    <w:abstractNumId w:val="14"/>
  </w:num>
  <w:num w:numId="41">
    <w:abstractNumId w:val="9"/>
  </w:num>
  <w:num w:numId="42">
    <w:abstractNumId w:val="30"/>
  </w:num>
  <w:num w:numId="43">
    <w:abstractNumId w:val="13"/>
  </w:num>
  <w:num w:numId="44">
    <w:abstractNumId w:val="35"/>
  </w:num>
  <w:num w:numId="45">
    <w:abstractNumId w:val="26"/>
  </w:num>
  <w:num w:numId="46">
    <w:abstractNumId w:val="39"/>
  </w:num>
  <w:num w:numId="47">
    <w:abstractNumId w:val="3"/>
  </w:num>
  <w:num w:numId="48">
    <w:abstractNumId w:val="40"/>
  </w:num>
  <w:num w:numId="49">
    <w:abstractNumId w:val="25"/>
  </w:num>
  <w:num w:numId="50">
    <w:abstractNumId w:val="4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5619"/>
    <w:rsid w:val="00106180"/>
    <w:rsid w:val="00106446"/>
    <w:rsid w:val="00106612"/>
    <w:rsid w:val="00106F3A"/>
    <w:rsid w:val="00110ABB"/>
    <w:rsid w:val="00110F5C"/>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69D"/>
    <w:rsid w:val="00476135"/>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E9915-431E-4AC9-AE27-5AF9BE02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1918</Words>
  <Characters>10935</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2023-09-28T14:05:00Z</dcterms:created>
  <dcterms:modified xsi:type="dcterms:W3CDTF">2023-09-28T14:05:00Z</dcterms:modified>
</cp:coreProperties>
</file>